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7E" w:rsidRPr="007B027E" w:rsidRDefault="007B027E">
      <w:pPr>
        <w:pStyle w:val="ConsPlusTitle"/>
        <w:jc w:val="center"/>
      </w:pPr>
      <w:bookmarkStart w:id="0" w:name="_GoBack"/>
      <w:bookmarkEnd w:id="0"/>
      <w:r w:rsidRPr="007B027E">
        <w:t>ПРАВИТЕЛЬСТВО РОССИЙСКОЙ ФЕДЕРАЦИИ</w:t>
      </w:r>
    </w:p>
    <w:p w:rsidR="007B027E" w:rsidRPr="007B027E" w:rsidRDefault="007B027E">
      <w:pPr>
        <w:pStyle w:val="ConsPlusTitle"/>
        <w:jc w:val="center"/>
      </w:pPr>
    </w:p>
    <w:p w:rsidR="007B027E" w:rsidRPr="007B027E" w:rsidRDefault="007B027E">
      <w:pPr>
        <w:pStyle w:val="ConsPlusTitle"/>
        <w:jc w:val="center"/>
      </w:pPr>
      <w:r w:rsidRPr="007B027E">
        <w:t>ПОСТАНОВЛЕНИЕ</w:t>
      </w:r>
    </w:p>
    <w:p w:rsidR="007B027E" w:rsidRPr="007B027E" w:rsidRDefault="007B027E">
      <w:pPr>
        <w:pStyle w:val="ConsPlusTitle"/>
        <w:jc w:val="center"/>
      </w:pPr>
      <w:r w:rsidRPr="007B027E">
        <w:t>от 16 сентября 2023 г. N 1511</w:t>
      </w:r>
    </w:p>
    <w:p w:rsidR="007B027E" w:rsidRPr="007B027E" w:rsidRDefault="007B027E">
      <w:pPr>
        <w:pStyle w:val="ConsPlusTitle"/>
        <w:jc w:val="center"/>
      </w:pPr>
    </w:p>
    <w:p w:rsidR="007B027E" w:rsidRPr="007B027E" w:rsidRDefault="007B027E">
      <w:pPr>
        <w:pStyle w:val="ConsPlusTitle"/>
        <w:jc w:val="center"/>
      </w:pPr>
      <w:r w:rsidRPr="007B027E">
        <w:t>ОБ УСТАНОВЛЕНИИ</w:t>
      </w:r>
    </w:p>
    <w:p w:rsidR="007B027E" w:rsidRPr="007B027E" w:rsidRDefault="007B027E">
      <w:pPr>
        <w:pStyle w:val="ConsPlusTitle"/>
        <w:jc w:val="center"/>
      </w:pPr>
      <w:r w:rsidRPr="007B027E">
        <w:t>НА 2024 ГОД ДОПУСТИМОЙ ДОЛИ ИНОСТРАННЫХ РАБОТНИКОВ,</w:t>
      </w:r>
    </w:p>
    <w:p w:rsidR="007B027E" w:rsidRPr="007B027E" w:rsidRDefault="007B027E">
      <w:pPr>
        <w:pStyle w:val="ConsPlusTitle"/>
        <w:jc w:val="center"/>
      </w:pPr>
      <w:r w:rsidRPr="007B027E">
        <w:t>ИСПОЛЬЗУЕМЫХ ХОЗЯЙСТВУЮЩИМИ СУБЪЕКТАМИ, ОСУЩЕСТВЛЯЮЩИМИ</w:t>
      </w:r>
    </w:p>
    <w:p w:rsidR="007B027E" w:rsidRPr="007B027E" w:rsidRDefault="007B027E">
      <w:pPr>
        <w:pStyle w:val="ConsPlusTitle"/>
        <w:jc w:val="center"/>
      </w:pPr>
      <w:r w:rsidRPr="007B027E">
        <w:t>НА ТЕРРИТОРИИ РОССИЙСКОЙ ФЕДЕРАЦИИ ОТДЕЛЬНЫЕ ВИДЫ</w:t>
      </w:r>
    </w:p>
    <w:p w:rsidR="007B027E" w:rsidRPr="007B027E" w:rsidRDefault="007B027E">
      <w:pPr>
        <w:pStyle w:val="ConsPlusTitle"/>
        <w:jc w:val="center"/>
      </w:pPr>
      <w:r w:rsidRPr="007B027E">
        <w:t>ЭКОНОМИЧЕСКОЙ ДЕЯТЕЛЬНОСТИ</w:t>
      </w:r>
    </w:p>
    <w:p w:rsidR="007B027E" w:rsidRPr="007B027E" w:rsidRDefault="007B027E">
      <w:pPr>
        <w:pStyle w:val="ConsPlusNormal"/>
        <w:jc w:val="both"/>
      </w:pPr>
    </w:p>
    <w:p w:rsidR="007B027E" w:rsidRPr="007B027E" w:rsidRDefault="007B027E">
      <w:pPr>
        <w:pStyle w:val="ConsPlusNormal"/>
        <w:ind w:firstLine="540"/>
        <w:jc w:val="both"/>
      </w:pPr>
      <w:r w:rsidRPr="007B027E">
        <w:t>В соответствии с пунктом 5 статьи 18.1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1. Установить на 2024 год допустимую долю иностранных работников, используемых хозяйствующими субъектами, осуществляющими на территории Российской Федерации следующие виды деятельности, предусмотренные Общероссийским классификатором видов экономической деятельности (ОК 029-2014 (КДЕС Ред. 2):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bookmarkStart w:id="1" w:name="P14"/>
      <w:bookmarkEnd w:id="1"/>
      <w:r w:rsidRPr="007B027E">
        <w:t>а) выращивание овощей (код 01.13.1) - в размере 50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б) лесоводство и лесозаготовки (код 02) - в размере 50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bookmarkStart w:id="2" w:name="P16"/>
      <w:bookmarkEnd w:id="2"/>
      <w:r w:rsidRPr="007B027E">
        <w:t>в) обработка древесины и производство изделий из дерева и пробки, кроме мебели, производство изделий из соломки и материалов для плетения (код 16) - в размере 50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bookmarkStart w:id="3" w:name="P17"/>
      <w:bookmarkEnd w:id="3"/>
      <w:r w:rsidRPr="007B027E">
        <w:t>г) строительство (раздел F) - в размере 80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д) торговля оптовая древесным сырьем и необработанными лесоматериалами (код 46.73.1) - в размере 50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е) торговля оптовая пиломатериалами (код 46.73.2) - в размере 50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bookmarkStart w:id="4" w:name="P20"/>
      <w:bookmarkEnd w:id="4"/>
      <w:r w:rsidRPr="007B027E">
        <w:lastRenderedPageBreak/>
        <w:t>ж) торговля розничная алкогольными напитками, включая пиво, в специализированных магазинах (код 47.25.1) - в размере 15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bookmarkStart w:id="5" w:name="P21"/>
      <w:bookmarkEnd w:id="5"/>
      <w:r w:rsidRPr="007B027E">
        <w:t>з) торговля розничная табачными изделиями в специализированных магазинах (код 47.26) - в размере 15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и) торговля розничная лекарственными средствами в специализированных магазинах (аптеках) (код 47.73) - в размере 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к) торговля розничная в нестационарных торговых объектах и на рынках (код 47.8) - в размере 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л) торговля розничная прочая вне магазинов, палаток, рынков (код 47.99) - в размере 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bookmarkStart w:id="6" w:name="P25"/>
      <w:bookmarkEnd w:id="6"/>
      <w:r w:rsidRPr="007B027E">
        <w:t>м) деятельность прочего сухопутного пассажирского транспорта (код 49.3) - в размере 24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bookmarkStart w:id="7" w:name="P26"/>
      <w:bookmarkEnd w:id="7"/>
      <w:r w:rsidRPr="007B027E">
        <w:t>н) деятельность автомобильного грузового транспорта (код 49.41) - в размере 24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о) управление недвижимым имуществом за вознаграждение или на договорной основе (код 68.32) - в размере 70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п) деятельность по обслуживанию зданий и территорий (код 81) - в размере 70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р) деятельность в области спорта прочая (код 93.19) - в размере 25 процентов общей численности работников, используемых указанными хозяйствующими субъектами.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2. Установить, что подпункт "а" пункта 1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Удмуртской Республики, Астраханской области, Амурской области и Волгоградской области.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lastRenderedPageBreak/>
        <w:t>3. Установить, что подпункт "в" пункта 1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территории Хабаровского края.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4. Установить, что подпункт "г" пункта 1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Республики Бурятия, Республики Дагестан, Краснодарского края, Амурской области и г. Москвы.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5. Установить, что подпункты "ж" и "з" пункта 1 настоящего постановления распространяются на хозяйствующие субъекты, осуществляющие деятельность на территории Российской Федерации, за исключением территории Калужской области.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6. Установить, что подпункт "м" пункта 1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исключением: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а) территорий Краснодарского края, Калужской области и Магаданской области;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б) хозяйствующих субъектов, осуществляющих на территории Удмуртской Республики деятельность сухопутного пассажирского транспорта: перевозки пассажиров в городском и пригородном сообщении (код 49.31);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в) хозяйствующих субъектов, осуществляющих на территории Удмуртской Республики деятельность легкового такси и арендованных легковых автомобилей с водителем (код 49.32).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7. Установить, что подпункт "н" пункта 1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Краснодарского края и Магаданской области.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8. Установить на 2024 год допустимую долю иностранных работников, используемых хозяйствующими субъектами, осуществляющими на территории Республики Дагестан деятельность в сфере строительства (раздел F), в размере 50 процентов общей численности работников, используемых указанными хозяйствующими субъектами.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 xml:space="preserve">9. Установить на 2024 год допустимую долю иностранных работников, используемых хозяйствующими субъектами, осуществляющими на территории Хабаровского края деятельность в сфере обработки древесины и производства изделий из дерева и пробки, кроме мебели, производства изделий из соломки и </w:t>
      </w:r>
      <w:r w:rsidRPr="007B027E">
        <w:lastRenderedPageBreak/>
        <w:t>материалов для плетения (код 16), в размере 80 процентов общей численности работников, используемых указанными хозяйствующими субъектами.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10. Установить на 2024 год допустимую долю иностранных работников, используемых хозяйствующими субъектами, осуществляющими на территории Амурской области следующие виды деятельности: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а) растениеводство и животноводство, охота и предоставление соответствующих услуг в этих областях (код 01) - в размере 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б) добыча руд и песков драгоценных металлов (золота, серебра и металлов платиновой группы) (код 07.29.41) - в размере 0 процентов общей численности работников, используемых указанными хозяйствующими субъектами.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11. Установить на 2024 год допустимую долю иностранных работников, используемых хозяйствующими субъектами, осуществляющими на территории Удмуртской Республики следующие виды деятельности: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а) выращивание овощей (код 01.13.1) - в размере 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б) деятельность сухопутного пассажирского транспорта: перевозки пассажиров в городском и пригородном сообщении (код 49.31) - в размере 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в) деятельность легкового такси и арендованных легковых автомобилей с водителем (код 49.32) - в размере 0 процентов общей численности работников, используемых указанными хозяйствующими субъектами.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12. Установить на 2024 год допустимую долю иностранных работников, используемых хозяйствующими субъектами, осуществляющими на территории Краснодарского края следующие виды деятельности: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а) строительство (раздел F) - в размере 50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б) деятельность прочего сухопутного пассажирского транспорта (код 49.3) - в размере 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 xml:space="preserve">в) деятельность автомобильного грузового транспорта (код 49.41) - в размере 0 процентов общей численности работников, используемых указанными </w:t>
      </w:r>
      <w:r w:rsidRPr="007B027E">
        <w:lastRenderedPageBreak/>
        <w:t>хозяйствующими субъектами.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13. Установить на 2024 год допустимую долю иностранных работников, используемых хозяйствующими субъектами, осуществляющими на территории Калужской области следующие виды деятельности: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а) сбор, обработка и утилизация отходов; обработка вторичного сырья (код 38) - в размере 60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б) торговля розничная, кроме торговли автотранспортными средствами и мотоциклами (код 47) - в размере 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в) деятельность прочего сухопутного пассажирского транспорта (код 49.3) - в размере 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г) складское хозяйство и вспомогательная транспортная деятельность (код 52) - в размере 70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д) деятельность по предоставлению продуктов питания и напитков (код 56) - в размере 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е) деятельность по трудоустройству и подбору персонала (код 78) - в размере 0 процентов общей численности работников, используемых указанными хозяйствующими субъектами.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14. Установить на 2024 год допустимую долю иностранных работников, используемых хозяйствующими субъектами, осуществляющими на территории Магаданской области следующие виды деятельности: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а) сельское, лесное хозяйство, охота, рыболовство и рыбоводство (раздел A) - в размере 50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б) добыча полезных ископаемых (раздел B) - в размере 80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в) транспортировка и хранение (раздел H) - в размере 50 процентов общей численности работников, используемых указанными хозяйствующими субъектами.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lastRenderedPageBreak/>
        <w:t>15. Установить на 2024 год допустимую долю иностранных работников, используемых хозяйствующими субъектами, осуществляющими на территории Рязанской области следующие виды деятельности: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а) производство текстильных изделий (код 13) - в размере 90 процентов общей численности работников, используемых указанными хозяйствующими субъектами;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б) производство одежды (код 14) - в размере 90 процентов общей численности работников, используемых указанными хозяйствующими субъектами.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16. Хозяйствующим субъектам до 1 января 2024 г. привести численность используемых 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 w:rsidR="007B027E" w:rsidRPr="007B027E" w:rsidRDefault="007B027E">
      <w:pPr>
        <w:pStyle w:val="ConsPlusNormal"/>
        <w:spacing w:before="280"/>
        <w:ind w:firstLine="540"/>
        <w:jc w:val="both"/>
      </w:pPr>
      <w:r w:rsidRPr="007B027E">
        <w:t>17. Министерству труда и социальной защиты Российской Федерации давать разъяснения по применению настоящего постановления.</w:t>
      </w:r>
    </w:p>
    <w:p w:rsidR="007B027E" w:rsidRPr="007B027E" w:rsidRDefault="007B027E">
      <w:pPr>
        <w:pStyle w:val="ConsPlusNormal"/>
        <w:jc w:val="both"/>
      </w:pPr>
    </w:p>
    <w:p w:rsidR="007B027E" w:rsidRPr="007B027E" w:rsidRDefault="007B027E">
      <w:pPr>
        <w:pStyle w:val="ConsPlusNormal"/>
        <w:jc w:val="right"/>
      </w:pPr>
      <w:r w:rsidRPr="007B027E">
        <w:t>Председатель Правительства</w:t>
      </w:r>
    </w:p>
    <w:p w:rsidR="007B027E" w:rsidRPr="007B027E" w:rsidRDefault="007B027E">
      <w:pPr>
        <w:pStyle w:val="ConsPlusNormal"/>
        <w:jc w:val="right"/>
      </w:pPr>
      <w:r w:rsidRPr="007B027E">
        <w:t>Российской Федерации</w:t>
      </w:r>
    </w:p>
    <w:p w:rsidR="007B027E" w:rsidRPr="007B027E" w:rsidRDefault="007B027E">
      <w:pPr>
        <w:pStyle w:val="ConsPlusNormal"/>
        <w:jc w:val="right"/>
      </w:pPr>
      <w:r w:rsidRPr="007B027E">
        <w:t>М.МИШУСТИН</w:t>
      </w:r>
    </w:p>
    <w:p w:rsidR="007B027E" w:rsidRPr="007B027E" w:rsidRDefault="007B027E">
      <w:pPr>
        <w:pStyle w:val="ConsPlusNormal"/>
        <w:jc w:val="both"/>
      </w:pPr>
    </w:p>
    <w:p w:rsidR="007B027E" w:rsidRPr="007B027E" w:rsidRDefault="007B027E">
      <w:pPr>
        <w:pStyle w:val="ConsPlusNormal"/>
        <w:jc w:val="both"/>
      </w:pPr>
    </w:p>
    <w:p w:rsidR="007B027E" w:rsidRPr="007B027E" w:rsidRDefault="007B02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4046" w:rsidRPr="007B027E" w:rsidRDefault="00594046"/>
    <w:sectPr w:rsidR="00594046" w:rsidRPr="007B027E" w:rsidSect="006948A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7E"/>
    <w:rsid w:val="000233A3"/>
    <w:rsid w:val="00430857"/>
    <w:rsid w:val="004B4CB4"/>
    <w:rsid w:val="00594046"/>
    <w:rsid w:val="006018FA"/>
    <w:rsid w:val="007B027E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006DC-1ABA-4B7E-9E58-17C172AC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27E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B027E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7B027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2024-02-27T07:21:00Z</dcterms:created>
  <dcterms:modified xsi:type="dcterms:W3CDTF">2024-02-27T07:22:00Z</dcterms:modified>
</cp:coreProperties>
</file>