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right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Приложение № 2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right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pStyle w:val="8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bookmarkStart w:id="0" w:name="undefined"/>
      <w:r>
        <w:rPr>
          <w:rFonts w:ascii="Times New Roman" w:hAnsi="Times New Roman" w:eastAsia="Times New Roman" w:cs="Times New Roman"/>
          <w:sz w:val="28"/>
          <w:szCs w:val="28"/>
        </w:rPr>
      </w:r>
      <w:bookmarkEnd w:id="0"/>
      <w:r>
        <w:rPr>
          <w:rFonts w:ascii="Times New Roman" w:hAnsi="Times New Roman" w:eastAsia="Times New Roman" w:cs="Times New Roman"/>
          <w:sz w:val="28"/>
          <w:szCs w:val="28"/>
        </w:rPr>
        <w:t xml:space="preserve">АНКЕТА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8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кандидата в общественный совет при министерстве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промышленности, торговли и развития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предпринимательства Новосибирской области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680"/>
        <w:gridCol w:w="5839"/>
        <w:gridCol w:w="2551"/>
      </w:tblGrid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Сведения о кандидате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Графа для заполнения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Фамилия, имя, отчество 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Должность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Дата рождения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Гражданство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Место жительства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Контактный телефон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E-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mail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(при наличии)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Уровень образования, наименование учебного заведения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Наличие ученого звания, ученой степени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Трудовая деятельность за последние 5 лет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Общественная деятельность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Наличие (отсутствие) неснятой или непогашенной судимости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Информация о членстве в составе общественных советов иных исполнительных органов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Дополнительная информация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14.1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ИНН организации работодателя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14.2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Наличие высшего профессионального образования по специальности «Экономика», «Торговля», «Юриспруденция»,   «Государственное и муниципальное управление»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14.3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Знание: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а) </w:t>
            </w:r>
            <w:hyperlink r:id="rId8" w:tooltip="https://login.consultant.ru/link/?req=doc&amp;base=LAW&amp;n=2875" w:history="1">
              <w:r>
                <w:rPr>
                  <w:rFonts w:ascii="Times New Roman" w:hAnsi="Times New Roman" w:eastAsia="Times New Roman" w:cs="Times New Roman"/>
                  <w:color w:val="000000" w:themeColor="text1"/>
                  <w:sz w:val="28"/>
                  <w:szCs w:val="28"/>
                </w:rPr>
                <w:t xml:space="preserve">Конституции</w:t>
              </w:r>
            </w:hyperlink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</w:rPr>
              <w:t xml:space="preserve"> Российской Федерации, федеральных законов и иных нормативных правовых актов Российской Федерации, </w:t>
            </w:r>
            <w:hyperlink r:id="rId9" w:tooltip="https://login.consultant.ru/link/?req=doc&amp;base=RLAW049&amp;n=151346" w:history="1">
              <w:r>
                <w:rPr>
                  <w:rFonts w:ascii="Times New Roman" w:hAnsi="Times New Roman" w:eastAsia="Times New Roman" w:cs="Times New Roman"/>
                  <w:color w:val="000000" w:themeColor="text1"/>
                  <w:sz w:val="28"/>
                  <w:szCs w:val="28"/>
                </w:rPr>
                <w:t xml:space="preserve">Устава</w:t>
              </w:r>
            </w:hyperlink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Новосибирской области, законов Новосибирской области и иных нормативных правовых актов Новосибирской области, соответствующих направлениям деятельности министерства промышленности, торговли и развития предпринимательства Новосибирской области;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б) основ законодательства о государственной гражданской службе Российской Федерации и Новосибирской области;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в)</w:t>
            </w:r>
            <w:r>
              <w:t xml:space="preserve">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нормативных правовых актов Российской Федерации и Новосибирской области по вопросам противодействия коррупции;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г) основ государственного управления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14.4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Стаж работы по направлениям сферы деятельности министерства промышленности, торговли и развития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предпринимательства Новосибирской области не менее 5 лет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14.5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Опыт участия в координационных, совещательных, экспертных органах при органах государственной власти, органах местного самоуправления Новосибирской области, иных организациях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14.6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Наличие публикаций, выступлений в средствах массовой информации по вопросам, относящимся к сфере деятельности министерства промышленности, торговли и развития предпринимательства Новосибирской области Новосибирской области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W w:w="680" w:type="dxa"/>
            <w:textDirection w:val="lrTb"/>
            <w:noWrap w:val="false"/>
          </w:tcPr>
          <w:p>
            <w:pPr>
              <w:pStyle w:val="83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14.7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5839" w:type="dxa"/>
            <w:textDirection w:val="lrTb"/>
            <w:noWrap w:val="false"/>
          </w:tcPr>
          <w:p>
            <w:pPr>
              <w:pStyle w:val="836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Наличие государственных и (или) ведомственных наград, наград органов государственной власти субъектов Российской Федерации, органов местного самоуправления, иных организаций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2551" w:type="dxa"/>
            <w:textDirection w:val="lrTb"/>
            <w:noWrap w:val="false"/>
          </w:tcPr>
          <w:p>
            <w:pPr>
              <w:pStyle w:val="83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cs="Calibri" w:eastAsiaTheme="minorEastAsia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login.consultant.ru/link/?req=doc&amp;base=LAW&amp;n=2875" TargetMode="External"/><Relationship Id="rId9" Type="http://schemas.openxmlformats.org/officeDocument/2006/relationships/hyperlink" Target="https://login.consultant.ru/link/?req=doc&amp;base=RLAW049&amp;n=151346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2</cp:revision>
  <dcterms:modified xsi:type="dcterms:W3CDTF">2024-05-20T07:19:41Z</dcterms:modified>
</cp:coreProperties>
</file>