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5"/>
        <w:ind w:firstLine="0"/>
      </w:pPr>
      <w:r>
        <w:rPr>
          <w:color w:val="7030a0"/>
          <w:sz w:val="40"/>
          <w:szCs w:val="40"/>
        </w:rPr>
        <w:t xml:space="preserve">ПАМЯТКА</w:t>
      </w:r>
    </w:p>
    <w:p>
      <w:pPr>
        <w:jc w:val="center"/>
        <w:rPr>
          <w:sz w:val="28"/>
        </w:rPr>
      </w:pPr>
      <w:r>
        <w:rPr>
          <w:sz w:val="28"/>
        </w:rPr>
        <w:t xml:space="preserve">по применению налоговых льготах субъектами деятельности в сфере промышленности Новосибирской области </w:t>
      </w:r>
    </w:p>
    <w:p>
      <w:pPr>
        <w:ind w:firstLine="709"/>
        <w:jc w:val="center"/>
        <w:rPr>
          <w:sz w:val="28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Налоговые льготы для субъектов деятельности в сфере промышленности</w:t>
      </w:r>
      <w:r>
        <w:rPr>
          <w:sz w:val="28"/>
          <w:szCs w:val="28"/>
        </w:rPr>
        <w:t xml:space="preserve">, основания, порядок и условия их применения установлены главой 7.1 Закона Новосибирской области от 16.10.2003 №142-ОЗ «О налогах и особенностях налогообложения отдельных категорий налогоплательщиков в Новосибирской области».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на применение налоговых льгот имеют субъекты деятельности в сфере промышленности, </w:t>
      </w:r>
      <w:r>
        <w:rPr>
          <w:i/>
          <w:color w:val="7030a0"/>
          <w:sz w:val="28"/>
          <w:szCs w:val="28"/>
          <w:u w:val="single"/>
        </w:rPr>
        <w:t xml:space="preserve">зарегистрированные в Новосибирской области</w:t>
      </w:r>
      <w:r>
        <w:rPr>
          <w:sz w:val="28"/>
          <w:szCs w:val="28"/>
          <w:u w:val="single"/>
        </w:rPr>
        <w:t xml:space="preserve">, </w:t>
      </w:r>
      <w:r>
        <w:rPr>
          <w:sz w:val="28"/>
          <w:szCs w:val="28"/>
        </w:rPr>
        <w:t xml:space="preserve">осуществляющие деятельность, относящуюся к виду экономической деятельности «</w:t>
      </w:r>
      <w:r>
        <w:rPr>
          <w:i/>
          <w:iCs/>
          <w:color w:val="7030a0"/>
          <w:sz w:val="28"/>
          <w:szCs w:val="28"/>
          <w:u w:val="single"/>
        </w:rPr>
        <w:t xml:space="preserve">обрабатывающие производства</w:t>
      </w:r>
      <w:r>
        <w:rPr>
          <w:i/>
          <w:iCs/>
          <w:color w:val="7030a0"/>
          <w:sz w:val="28"/>
          <w:szCs w:val="28"/>
        </w:rPr>
        <w:t xml:space="preserve">»</w:t>
      </w:r>
      <w:r>
        <w:rPr>
          <w:sz w:val="28"/>
          <w:szCs w:val="28"/>
        </w:rPr>
        <w:t xml:space="preserve"> Общероссийского </w:t>
      </w:r>
      <w:hyperlink r:id="rId11" w:tooltip="consultantplus://offline/ref=D707B7100014AA8888943EC3429312A4930690414240BC766305864501DD33F9A1324B6304C758BFDDD169B733q5QCI" w:history="1">
        <w:r>
          <w:rPr>
            <w:sz w:val="28"/>
            <w:szCs w:val="28"/>
          </w:rPr>
          <w:t xml:space="preserve">классификатора</w:t>
        </w:r>
      </w:hyperlink>
      <w:r>
        <w:rPr>
          <w:sz w:val="28"/>
          <w:szCs w:val="28"/>
        </w:rPr>
        <w:t xml:space="preserve"> видов экономической деятельности ОК 029-2014 (КДЕС Ред. 2) и выполняющие установленные главой 7.1. Закона № 142-ОЗ </w:t>
      </w:r>
      <w:r>
        <w:rPr>
          <w:b/>
          <w:sz w:val="28"/>
          <w:szCs w:val="28"/>
        </w:rPr>
        <w:t xml:space="preserve">условия применения налоговых льгот.</w:t>
      </w:r>
    </w:p>
    <w:p>
      <w:pPr>
        <w:ind w:firstLine="708"/>
        <w:jc w:val="both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января 2025 года пониженные ставки по налогу на прибыль организаций, подлежащему зачислению в областной бюджет Новосибирской области </w:t>
      </w:r>
      <w:r>
        <w:rPr>
          <w:b/>
          <w:color w:val="ff0000"/>
          <w:sz w:val="28"/>
          <w:szCs w:val="28"/>
        </w:rPr>
        <w:t xml:space="preserve">не применяются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абзац пятый пункта 1 статьи 284 Налогового кодекса Российской Федерации).</w:t>
      </w:r>
    </w:p>
    <w:p>
      <w:pPr>
        <w:ind w:firstLine="708"/>
        <w:jc w:val="both"/>
        <w:rPr>
          <w:sz w:val="28"/>
          <w:szCs w:val="28"/>
        </w:rPr>
      </w:pPr>
    </w:p>
    <w:p>
      <w:pPr>
        <w:ind w:firstLine="708"/>
        <w:jc w:val="both"/>
        <w:rPr>
          <w:b/>
          <w:bCs/>
          <w:i/>
          <w:color w:val="7030a0"/>
          <w:sz w:val="28"/>
          <w:szCs w:val="28"/>
        </w:rPr>
      </w:pPr>
      <w:r>
        <w:rPr>
          <w:b/>
          <w:bCs/>
          <w:i/>
          <w:color w:val="7030a0"/>
          <w:sz w:val="40"/>
          <w:szCs w:val="40"/>
        </w:rPr>
        <w:t xml:space="preserve">Налог на имущество организаций</w:t>
      </w:r>
    </w:p>
    <w:p>
      <w:pPr>
        <w:ind w:firstLine="708"/>
        <w:jc w:val="both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по налогу на имущество организации предоставляется предприятию по итогам года.</w:t>
      </w:r>
    </w:p>
    <w:p>
      <w:pPr>
        <w:ind w:firstLine="708"/>
        <w:jc w:val="both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ПРИМЕНЕНИЯ НАЛОГОВОЙ ЛЬГОТЫ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обеспечен рост выручки в отчетном году к выручке предыдущего года </w:t>
      </w:r>
      <w:r>
        <w:rPr>
          <w:sz w:val="28"/>
          <w:szCs w:val="28"/>
          <w:u w:val="single"/>
        </w:rPr>
        <w:br/>
        <w:t xml:space="preserve">не менее чем в 1,1 раза</w:t>
      </w:r>
      <w:r>
        <w:rPr>
          <w:sz w:val="28"/>
          <w:szCs w:val="28"/>
        </w:rPr>
        <w:t xml:space="preserve">: проверяется по </w:t>
      </w:r>
      <w:r>
        <w:rPr>
          <w:i/>
          <w:iCs/>
          <w:color w:val="7030a0"/>
          <w:sz w:val="28"/>
          <w:szCs w:val="28"/>
        </w:rPr>
        <w:t xml:space="preserve">Отчету о финансовых результатах Вашего предприятия</w:t>
      </w:r>
      <w:r>
        <w:rPr>
          <w:sz w:val="28"/>
          <w:szCs w:val="28"/>
        </w:rPr>
        <w:t xml:space="preserve"> за отчетный год (форма по ОКУД 0710002, код строки 2110, оба столбца – за отчетный год и  предыдущий год);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обеспечена рентабельность реализованной продукции в отчетном году </w:t>
      </w:r>
      <w:r>
        <w:rPr>
          <w:sz w:val="28"/>
          <w:szCs w:val="28"/>
        </w:rPr>
        <w:br/>
        <w:t xml:space="preserve">не менее 5%: проверяется по </w:t>
      </w:r>
      <w:r>
        <w:rPr>
          <w:i/>
          <w:iCs/>
          <w:color w:val="7030a0"/>
          <w:sz w:val="28"/>
          <w:szCs w:val="28"/>
        </w:rPr>
        <w:t xml:space="preserve">Отчету о финансовых результатах Вашего предприятия</w:t>
      </w:r>
      <w:r>
        <w:rPr>
          <w:sz w:val="28"/>
          <w:szCs w:val="28"/>
        </w:rPr>
        <w:t xml:space="preserve"> за отчетный год (форма по ОКУД 0710002: отношение прибыли (убытка) от продаж в отчетном году - строка 2200 к себестоимости продаж в отчетном году – строка 2120);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обеспечен </w:t>
      </w:r>
      <w:r>
        <w:rPr>
          <w:b/>
          <w:bCs/>
          <w:sz w:val="28"/>
          <w:szCs w:val="28"/>
          <w:u w:val="single"/>
        </w:rPr>
        <w:t xml:space="preserve">рост</w:t>
      </w:r>
      <w:r>
        <w:rPr>
          <w:sz w:val="28"/>
          <w:szCs w:val="28"/>
        </w:rPr>
        <w:t xml:space="preserve"> налогооблагаемой базы по налогу на имущество: проверяется по </w:t>
      </w:r>
      <w:r>
        <w:rPr>
          <w:i/>
          <w:iCs/>
          <w:color w:val="7030a0"/>
          <w:sz w:val="28"/>
          <w:szCs w:val="28"/>
        </w:rPr>
        <w:t xml:space="preserve">Налоговой декларации по налогу на имущество организации</w:t>
      </w:r>
      <w:r>
        <w:rPr>
          <w:sz w:val="28"/>
          <w:szCs w:val="28"/>
        </w:rPr>
        <w:t xml:space="preserve"> за отчетный год и </w:t>
      </w:r>
      <w:r>
        <w:rPr>
          <w:i/>
          <w:iCs/>
          <w:color w:val="7030a0"/>
          <w:sz w:val="28"/>
          <w:szCs w:val="28"/>
        </w:rPr>
        <w:t xml:space="preserve">Налоговой декларации по налогу на имущество организации </w:t>
      </w:r>
      <w:r>
        <w:rPr>
          <w:sz w:val="28"/>
          <w:szCs w:val="28"/>
        </w:rPr>
        <w:t xml:space="preserve">за год, предшествующий отчетному (строка «Налоговая база» в каждом из документов);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отсутствует недоимка по налоговым платежам и страховым взносам в государственные внебюджетные фонды.</w:t>
      </w:r>
    </w:p>
    <w:p>
      <w:pPr>
        <w:ind w:firstLine="708"/>
        <w:jc w:val="both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ПОДТВЕРЖДЕНИЕ ВЫПОЛНЕНИЯ УСЛОВИЙ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права применения налоговой льготы по налогу на имущество организации промышленное предприятие направляет в </w:t>
      </w:r>
      <w:r>
        <w:rPr>
          <w:b/>
          <w:bCs/>
          <w:sz w:val="28"/>
          <w:szCs w:val="28"/>
        </w:rPr>
        <w:t xml:space="preserve">Минпромторг НСО</w:t>
      </w:r>
      <w:r>
        <w:rPr>
          <w:rStyle w:val="af3"/>
          <w:b/>
          <w:bCs/>
          <w:sz w:val="28"/>
          <w:szCs w:val="28"/>
        </w:rPr>
        <w:footnoteReference w:id="1"/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пакет документов, подтверждающих выполнение условий применения налоговой льготы.</w:t>
      </w:r>
    </w:p>
    <w:p>
      <w:pPr>
        <w:ind w:firstLine="708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 Как передать документы в Минпромторг НСО:</w:t>
      </w:r>
    </w:p>
    <w:p>
      <w:pPr>
        <w:ind w:firstLine="708"/>
        <w:jc w:val="both"/>
        <w:rPr>
          <w:bCs/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- почтовый адрес</w:t>
      </w:r>
      <w:r>
        <w:rPr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 xml:space="preserve">г. Новосибирск 630011, ул. Кирова, 3; </w:t>
      </w:r>
    </w:p>
    <w:p>
      <w:pPr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 адрес для личной передачи документов: г. Новосибирск ул. Кирова, 3 кабинеты 804 (8 этаж), 502 (5 этаж – приемная Минпромторга НСО)</w:t>
      </w:r>
      <w:r>
        <w:rPr>
          <w:sz w:val="28"/>
          <w:szCs w:val="28"/>
        </w:rPr>
        <w:t xml:space="preserve">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Пакет документов (в пункте 8 настоящей памятки приведен их перечень) направляется с </w:t>
      </w:r>
      <w:r>
        <w:rPr>
          <w:b/>
          <w:bCs/>
          <w:sz w:val="28"/>
          <w:szCs w:val="28"/>
        </w:rPr>
        <w:t xml:space="preserve">сопроводительным письмом </w:t>
      </w:r>
      <w:r>
        <w:rPr>
          <w:sz w:val="28"/>
          <w:szCs w:val="28"/>
        </w:rPr>
        <w:t xml:space="preserve">на имя министра промышленности, торговли и развития предпринимательства Новосибирской области Гончарова Андрея Александровича (в сопроводительном письме можно указать перечень направляемых документов, а также пояснения по применению налоговой льготы в свободной форме). Сопроводительное письмо подписывается руководителем организации и заверяется печатью организации (при наличии).</w:t>
      </w:r>
    </w:p>
    <w:p>
      <w:pPr>
        <w:ind w:firstLine="708"/>
        <w:jc w:val="both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ДОКУМЕНТОВ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Пакет документов должен быть направлен в </w:t>
      </w:r>
      <w:r>
        <w:rPr>
          <w:b/>
          <w:bCs/>
          <w:sz w:val="28"/>
          <w:szCs w:val="28"/>
        </w:rPr>
        <w:t xml:space="preserve">министерство промышленности, торговли и развития предпринимательства Новосибирской области</w:t>
      </w:r>
      <w:r>
        <w:rPr>
          <w:sz w:val="28"/>
          <w:szCs w:val="28"/>
        </w:rPr>
        <w:t xml:space="preserve"> не позднее </w:t>
      </w:r>
      <w:r>
        <w:rPr>
          <w:b/>
          <w:bCs/>
          <w:color w:val="7030a0"/>
          <w:sz w:val="28"/>
          <w:szCs w:val="28"/>
          <w:u w:val="single"/>
        </w:rPr>
        <w:t xml:space="preserve">12 апреля</w:t>
      </w:r>
      <w:r>
        <w:rPr>
          <w:sz w:val="28"/>
          <w:szCs w:val="28"/>
        </w:rPr>
        <w:t xml:space="preserve"> года, следующего за отчетным годом.</w:t>
      </w:r>
    </w:p>
    <w:p>
      <w:pPr>
        <w:ind w:firstLine="708"/>
        <w:jc w:val="both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ПАКЕТ ДОКУМЕНТОВ 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Пакет документов, подтверждающий выполнение условий применения налоговой льготы по налогу на имущество организации: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>
        <w:rPr>
          <w:i/>
          <w:iCs/>
          <w:color w:val="7030a0"/>
          <w:sz w:val="28"/>
          <w:szCs w:val="28"/>
        </w:rPr>
        <w:t xml:space="preserve">отчет о финансовых результатах предприятия</w:t>
      </w:r>
      <w:r>
        <w:rPr>
          <w:sz w:val="28"/>
          <w:szCs w:val="28"/>
        </w:rPr>
        <w:t xml:space="preserve"> за отчетный год (форма по ОКУД 0710002 с отраженными строками 2110, 2120, 2200 с двумя колонками, отражающими показатели в отчетном году и предыдущем году) – заверенный подписью/печатью руководителя предприятия;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 </w:t>
      </w:r>
      <w:r>
        <w:rPr>
          <w:i/>
          <w:iCs/>
          <w:color w:val="7030a0"/>
          <w:sz w:val="28"/>
          <w:szCs w:val="28"/>
        </w:rPr>
        <w:t xml:space="preserve">налоговая декларация по налогу на имущество организации </w:t>
      </w:r>
      <w:r>
        <w:rPr>
          <w:sz w:val="28"/>
          <w:szCs w:val="28"/>
        </w:rPr>
        <w:t xml:space="preserve">за отчетный год (с отраженной </w:t>
      </w:r>
      <w:r>
        <w:rPr>
          <w:sz w:val="28"/>
          <w:szCs w:val="28"/>
          <w:u w:val="single"/>
        </w:rPr>
        <w:t xml:space="preserve">суммой налоговой льготы</w:t>
      </w:r>
      <w:r>
        <w:rPr>
          <w:sz w:val="28"/>
          <w:szCs w:val="28"/>
        </w:rPr>
        <w:t xml:space="preserve">, которая рассчитывается умножением ставки налога на сумму прироста налогооблагаемой базы в отчетном году по отношению к налогооблагаемой базе, указанной в налоговой декларации по налогу на имущество организации за год, предшествующий отчетному) - с подтверждением налогового органа о приеме налоговой декларации;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 </w:t>
      </w:r>
      <w:r>
        <w:rPr>
          <w:i/>
          <w:iCs/>
          <w:color w:val="7030a0"/>
          <w:sz w:val="28"/>
          <w:szCs w:val="28"/>
        </w:rPr>
        <w:t xml:space="preserve">налоговая декларация по налогу на имущество организации </w:t>
      </w:r>
      <w:r>
        <w:rPr>
          <w:sz w:val="28"/>
          <w:szCs w:val="28"/>
        </w:rPr>
        <w:t xml:space="preserve">за год, предшествующий отчетному году, с подтверждением налогового органа о приеме налоговой декларации;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</w:t>
      </w:r>
      <w:r>
        <w:rPr>
          <w:i/>
          <w:iCs/>
          <w:color w:val="7030a0"/>
          <w:sz w:val="28"/>
          <w:szCs w:val="28"/>
        </w:rPr>
        <w:t xml:space="preserve">справка о наличии</w:t>
      </w:r>
      <w:r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 xml:space="preserve">у предприятия </w:t>
      </w:r>
      <w:r>
        <w:rPr>
          <w:i/>
          <w:iCs/>
          <w:color w:val="7030a0"/>
          <w:sz w:val="28"/>
          <w:szCs w:val="28"/>
        </w:rPr>
        <w:t xml:space="preserve">на дату формирования справки положительного, отрицательного или нулевого сальдо единого налогового счета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налогоплательщика, плательщика сбора, плательщика страховых взносов или налогового агента (</w:t>
      </w:r>
      <w:r>
        <w:rPr>
          <w:b/>
          <w:bCs/>
          <w:color w:val="7030a0"/>
          <w:sz w:val="28"/>
          <w:szCs w:val="28"/>
          <w:u w:val="single"/>
        </w:rPr>
        <w:t xml:space="preserve">форма КНД 1160082</w:t>
      </w:r>
      <w:r>
        <w:rPr>
          <w:sz w:val="28"/>
          <w:szCs w:val="28"/>
        </w:rPr>
        <w:t xml:space="preserve">) – дата, на которую сформирована </w:t>
      </w:r>
      <w:r>
        <w:rPr>
          <w:sz w:val="28"/>
          <w:szCs w:val="28"/>
        </w:rPr>
        <w:t xml:space="preserve">справка, должна быть </w:t>
      </w:r>
      <w:r>
        <w:rPr>
          <w:color w:val="c00000"/>
          <w:sz w:val="28"/>
          <w:szCs w:val="28"/>
        </w:rPr>
        <w:t xml:space="preserve">ПОСЛЕ</w:t>
      </w:r>
      <w:r>
        <w:rPr>
          <w:sz w:val="28"/>
          <w:szCs w:val="28"/>
        </w:rPr>
        <w:t xml:space="preserve"> окончания отчетного года. Справка должна быть заверена электронной подписью налогового органа (возможно представление копии справки, заверенной подписью/печатью руководителя предприятия);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i/>
          <w:iCs/>
          <w:color w:val="7030a0"/>
          <w:sz w:val="28"/>
          <w:szCs w:val="28"/>
        </w:rPr>
        <w:t xml:space="preserve">справка о промышленном предприятии</w:t>
      </w:r>
      <w:r>
        <w:rPr>
          <w:sz w:val="28"/>
          <w:szCs w:val="28"/>
        </w:rPr>
        <w:t xml:space="preserve">, содержащая </w:t>
      </w:r>
      <w:r>
        <w:rPr>
          <w:b/>
          <w:bCs/>
          <w:i/>
          <w:iCs/>
          <w:color w:val="7030a0"/>
          <w:sz w:val="28"/>
          <w:szCs w:val="28"/>
          <w:u w:val="single"/>
        </w:rPr>
        <w:t xml:space="preserve">в свободной форме</w:t>
      </w:r>
      <w:r>
        <w:rPr>
          <w:sz w:val="28"/>
          <w:szCs w:val="28"/>
        </w:rPr>
        <w:t xml:space="preserve">: наименование организации, ИНН, основной вид экономической деятельности в соответствии с ОКВЭД, почтовый адрес, ФИО и телефоны руководителя и главного бухгалтера предприятия. Справка должна быть заверена подписью/печатью руководителя предприятия. </w:t>
      </w:r>
    </w:p>
    <w:p>
      <w:pPr>
        <w:ind w:firstLine="708"/>
        <w:jc w:val="both"/>
        <w:rPr>
          <w:sz w:val="28"/>
          <w:szCs w:val="28"/>
        </w:rPr>
      </w:pPr>
    </w:p>
    <w:p>
      <w:pPr>
        <w:ind w:firstLine="708"/>
        <w:jc w:val="both"/>
        <w:rPr>
          <w:color w:val="c00000"/>
          <w:sz w:val="44"/>
          <w:szCs w:val="44"/>
          <w:u w:val="single"/>
        </w:rPr>
      </w:pPr>
      <w:r>
        <w:rPr>
          <w:color w:val="7030a0"/>
          <w:sz w:val="44"/>
          <w:szCs w:val="44"/>
          <w:u w:val="single"/>
        </w:rPr>
        <w:t xml:space="preserve">ДЛЯ ИНФОРМАЦИИ: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>
        <w:rPr>
          <w:b/>
          <w:bCs/>
          <w:sz w:val="28"/>
          <w:szCs w:val="28"/>
          <w:u w:val="single"/>
        </w:rPr>
        <w:t xml:space="preserve">Минпромторга</w:t>
      </w:r>
      <w:r>
        <w:rPr>
          <w:b/>
          <w:bCs/>
          <w:sz w:val="28"/>
          <w:szCs w:val="28"/>
        </w:rPr>
        <w:t xml:space="preserve"> НСО</w:t>
      </w:r>
      <w:r>
        <w:rPr>
          <w:sz w:val="28"/>
          <w:szCs w:val="28"/>
        </w:rPr>
        <w:t xml:space="preserve"> о предприятиях, обеспечивших </w:t>
      </w:r>
      <w:r>
        <w:rPr>
          <w:b/>
          <w:bCs/>
          <w:sz w:val="28"/>
          <w:szCs w:val="28"/>
        </w:rPr>
        <w:t xml:space="preserve">выполнение условий применения налоговых льгот</w:t>
      </w:r>
      <w:r>
        <w:rPr>
          <w:sz w:val="28"/>
          <w:szCs w:val="28"/>
        </w:rPr>
        <w:t xml:space="preserve">, в соответствии с п.5 статьи 7.1.2 Закона Новосибирской области от 16.10.2003 №142-ОЗ «О налогах и особенностях налогообложения отдельных категорий налогоплательщиков в Новосибирской области» направляется официальным письмом в </w:t>
      </w:r>
      <w:r>
        <w:rPr>
          <w:b/>
          <w:bCs/>
          <w:sz w:val="28"/>
          <w:szCs w:val="28"/>
        </w:rPr>
        <w:t xml:space="preserve">Управление Федеральной налоговой службы по Новосибирской области</w:t>
      </w:r>
      <w:r>
        <w:rPr>
          <w:sz w:val="28"/>
          <w:szCs w:val="28"/>
        </w:rPr>
        <w:t xml:space="preserve"> по окончании каждого отчетного периода.</w:t>
      </w:r>
    </w:p>
    <w:p>
      <w:pPr>
        <w:ind w:firstLine="708"/>
        <w:jc w:val="both"/>
        <w:rPr>
          <w:bCs/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При необходимости, копию письма Минпромторга НСО в УФНС по НСО предприятия, обеспечившие выполнение условий применения налоговых льгот, могут получить в Минпромторге НСО в рабочем порядке.</w:t>
      </w:r>
    </w:p>
    <w:p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При наличии в представленном предприятием пакете документов сведений, указывающих на НЕВЫПОЛНЕНИЕ предприятием условий применения налоговых льгот, Минпромторг НСО направляет официальный ответ в адрес руководителя данного предприятия.</w:t>
      </w:r>
    </w:p>
    <w:p>
      <w:pPr>
        <w:ind w:firstLine="708"/>
        <w:jc w:val="both"/>
        <w:rPr>
          <w:b/>
          <w:sz w:val="28"/>
          <w:szCs w:val="28"/>
        </w:rPr>
      </w:pPr>
    </w:p>
    <w:p>
      <w:pPr>
        <w:ind w:firstLine="708"/>
        <w:jc w:val="both"/>
        <w:rPr>
          <w:b/>
          <w:bCs/>
          <w:i/>
          <w:color w:val="595959" w:themeColor="text1" w:themeTint="A6"/>
          <w:sz w:val="22"/>
          <w:szCs w:val="22"/>
          <w:highlight w:val="lightGray"/>
        </w:rPr>
      </w:pPr>
      <w:r>
        <w:rPr>
          <w:b/>
          <w:bCs/>
          <w:i/>
          <w:iCs/>
          <w:color w:val="595959" w:themeColor="text1" w:themeTint="A6"/>
          <w:sz w:val="22"/>
          <w:szCs w:val="22"/>
          <w:highlight w:val="lightGray"/>
        </w:rPr>
        <w:t xml:space="preserve">Данная памятка разработана на основе наиболее часто возникающих вопросов и неточностях при предоставлении пакета документов на применение налоговых льгот в соответствии со ст. 7.1 Закона Новосибирской области от 16.10.2003 №142-ОЗ «О налогах и особенностях налогообложения отдельных категорий налогоплательщиков в Новосибирской области»</w:t>
      </w:r>
    </w:p>
    <w:p>
      <w:pPr>
        <w:ind w:firstLine="708"/>
        <w:jc w:val="both"/>
        <w:rPr>
          <w:b/>
          <w:bCs/>
          <w:i/>
          <w:color w:val="595959" w:themeColor="text1" w:themeTint="A6"/>
          <w:sz w:val="22"/>
          <w:szCs w:val="22"/>
          <w:highlight w:val="lightGray"/>
        </w:rPr>
      </w:pPr>
    </w:p>
    <w:p>
      <w:pPr>
        <w:ind w:firstLine="708"/>
        <w:jc w:val="both"/>
        <w:rPr>
          <w:b/>
          <w:color w:val="000000" w:themeColor="text1"/>
          <w:sz w:val="28"/>
          <w:szCs w:val="28"/>
          <w:highlight w:val="lightGray"/>
        </w:rPr>
      </w:pPr>
      <w:r>
        <w:rPr>
          <w:b/>
          <w:bCs/>
          <w:i/>
          <w:iCs/>
          <w:color w:val="595959" w:themeColor="text1" w:themeTint="A6"/>
          <w:sz w:val="22"/>
          <w:szCs w:val="22"/>
          <w:highlight w:val="lightGray"/>
        </w:rPr>
        <w:t xml:space="preserve">При возникновении дополнительных вопросов можно обратиться в рабочем порядке </w:t>
      </w:r>
      <w:r>
        <w:rPr>
          <w:b/>
          <w:bCs/>
          <w:i/>
          <w:iCs/>
          <w:color w:val="595959" w:themeColor="text1" w:themeTint="A6"/>
          <w:sz w:val="22"/>
          <w:szCs w:val="22"/>
          <w:highlight w:val="lightGray"/>
        </w:rPr>
        <w:br/>
        <w:t xml:space="preserve">в Мин</w:t>
      </w:r>
      <w:bookmarkStart w:id="0" w:name="_GoBack"/>
      <w:bookmarkEnd w:id="0"/>
      <w:r>
        <w:rPr>
          <w:b/>
          <w:bCs/>
          <w:i/>
          <w:iCs/>
          <w:color w:val="595959" w:themeColor="text1" w:themeTint="A6"/>
          <w:sz w:val="22"/>
          <w:szCs w:val="22"/>
          <w:highlight w:val="lightGray"/>
        </w:rPr>
        <w:t xml:space="preserve">промторг НСО. Контрактное лицо: Гребенникова Елена Борисовна, 238 61 71 </w:t>
      </w:r>
      <w:hyperlink r:id="rId12" w:tooltip="http://geb@nso.ru" w:history="1">
        <w:r>
          <w:rPr>
            <w:rStyle w:val="af0"/>
            <w:b/>
            <w:bCs/>
            <w:color w:val="7f7f7f" w:themeColor="text1" w:themeTint="80"/>
            <w:sz w:val="28"/>
            <w:szCs w:val="28"/>
            <w:highlight w:val="lightGray"/>
          </w:rPr>
          <w:t xml:space="preserve">geb@nso.ru</w:t>
        </w:r>
      </w:hyperlink>
      <w:r>
        <w:rPr>
          <w:b/>
          <w:bCs/>
          <w:color w:val="000000" w:themeColor="text1"/>
          <w:sz w:val="28"/>
          <w:szCs w:val="28"/>
          <w:highlight w:val="lightGray"/>
        </w:rPr>
        <w:t xml:space="preserve"> </w:t>
      </w:r>
    </w:p>
    <w:sectPr>
      <w:headerReference w:type="even" r:id="rId9"/>
      <w:headerReference w:type="default" r:id="rId10"/>
      <w:pgSz w:w="11906" w:h="16838"/>
      <w:pgMar w:top="993" w:right="680" w:bottom="851" w:left="1418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f1"/>
      </w:pPr>
      <w:r>
        <w:rPr>
          <w:rStyle w:val="af3"/>
        </w:rPr>
        <w:footnoteRef/>
      </w:r>
      <w:r>
        <w:t xml:space="preserve"> министерство промышленности, торговли и развития предпринимательства Новосибирской области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 xml:space="preserve">3</w:t>
    </w:r>
    <w:r>
      <w:rPr>
        <w:rStyle w:val="afb"/>
      </w:rPr>
      <w:fldChar w:fldCharType="end"/>
    </w:r>
  </w:p>
  <w:p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FE22F0AE">
      <w:start w:val="1"/>
      <w:numFmt w:val="bullet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 w:tplc="C868ED6C">
      <w:start w:val="1"/>
      <w:numFmt w:val="bullet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 w:tplc="1048F830">
      <w:start w:val="1"/>
      <w:numFmt w:val="bullet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 w:tplc="F444781E">
      <w:start w:val="1"/>
      <w:numFmt w:val="bullet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 w:tplc="816C8046">
      <w:start w:val="1"/>
      <w:numFmt w:val="bullet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 w:tplc="70340BAE">
      <w:start w:val="1"/>
      <w:numFmt w:val="bullet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 w:tplc="5AF622A6">
      <w:start w:val="1"/>
      <w:numFmt w:val="bullet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 w:tplc="C22C9124">
      <w:start w:val="1"/>
      <w:numFmt w:val="bullet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 w:tplc="913E7F18">
      <w:start w:val="1"/>
      <w:numFmt w:val="bullet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 w:tplc="89560936">
      <w:start w:val="1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A2AAFA74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EC8AF778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69708AD6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A9582F4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CDB8BB8C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8680477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F1F4B704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BD7CB1EA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">
    <w:multiLevelType w:val="hybridMultilevel"/>
    <w:lvl w:ilvl="0" w:tplc="01AC8EAC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DA568D5C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98EAEB3E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4732C4D4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6AD4B736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DACBA3A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C5CA5160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5A84F3E4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2B9C6284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3">
    <w:multiLevelType w:val="hybridMultilevel"/>
    <w:lvl w:ilvl="0" w:tplc="C9DC85E8">
      <w:start w:val="1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A68A906E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4B5C95DA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743CAE20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B4F47658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6EE49F42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37A2B62C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51D83AE0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2E9C74D2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4">
    <w:multiLevelType w:val="hybridMultilevel"/>
    <w:lvl w:ilvl="0" w:tplc="6D2CBB6A">
      <w:start w:val="33"/>
      <w:numFmt w:val="bullet"/>
      <w:lvlText w:val="-"/>
      <w:lvlJc w:val="left"/>
      <w:pPr>
        <w:tabs>
          <w:tab w:val="num" w:pos="1295"/>
        </w:tabs>
        <w:ind w:left="1295" w:hanging="360"/>
      </w:pPr>
      <w:rPr>
        <w:rFonts w:hint="default" w:ascii="Times New Roman" w:hAnsi="Times New Roman" w:eastAsia="Times New Roman" w:cs="Times New Roman"/>
      </w:rPr>
    </w:lvl>
    <w:lvl w:ilvl="1" w:tplc="566AA8D0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hint="default" w:ascii="Courier New" w:hAnsi="Courier New"/>
      </w:rPr>
    </w:lvl>
    <w:lvl w:ilvl="2" w:tplc="D4F8E2DC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hint="default" w:ascii="Wingdings" w:hAnsi="Wingdings"/>
      </w:rPr>
    </w:lvl>
    <w:lvl w:ilvl="3" w:tplc="CBCCE424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hint="default" w:ascii="Symbol" w:hAnsi="Symbol"/>
      </w:rPr>
    </w:lvl>
    <w:lvl w:ilvl="4" w:tplc="DB501F74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hint="default" w:ascii="Courier New" w:hAnsi="Courier New"/>
      </w:rPr>
    </w:lvl>
    <w:lvl w:ilvl="5" w:tplc="F9025E1E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hint="default" w:ascii="Wingdings" w:hAnsi="Wingdings"/>
      </w:rPr>
    </w:lvl>
    <w:lvl w:ilvl="6" w:tplc="3C667878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hint="default" w:ascii="Symbol" w:hAnsi="Symbol"/>
      </w:rPr>
    </w:lvl>
    <w:lvl w:ilvl="7" w:tplc="1ED67E5E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hint="default" w:ascii="Courier New" w:hAnsi="Courier New"/>
      </w:rPr>
    </w:lvl>
    <w:lvl w:ilvl="8" w:tplc="6AD01670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 w:tplc="90D60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F7AF71A">
      <w:start w:val="1"/>
      <w:numFmt w:val="lowerLetter"/>
      <w:lvlText w:val="%2."/>
      <w:lvlJc w:val="left"/>
      <w:pPr>
        <w:ind w:left="1788" w:hanging="360"/>
      </w:pPr>
    </w:lvl>
    <w:lvl w:ilvl="2" w:tplc="3CF60718">
      <w:start w:val="1"/>
      <w:numFmt w:val="lowerRoman"/>
      <w:lvlText w:val="%3."/>
      <w:lvlJc w:val="right"/>
      <w:pPr>
        <w:ind w:left="2508" w:hanging="180"/>
      </w:pPr>
    </w:lvl>
    <w:lvl w:ilvl="3" w:tplc="8B9E9B9A">
      <w:start w:val="1"/>
      <w:numFmt w:val="decimal"/>
      <w:lvlText w:val="%4."/>
      <w:lvlJc w:val="left"/>
      <w:pPr>
        <w:ind w:left="3228" w:hanging="360"/>
      </w:pPr>
    </w:lvl>
    <w:lvl w:ilvl="4" w:tplc="E2A08FDE">
      <w:start w:val="1"/>
      <w:numFmt w:val="lowerLetter"/>
      <w:lvlText w:val="%5."/>
      <w:lvlJc w:val="left"/>
      <w:pPr>
        <w:ind w:left="3948" w:hanging="360"/>
      </w:pPr>
    </w:lvl>
    <w:lvl w:ilvl="5" w:tplc="E09C6A62">
      <w:start w:val="1"/>
      <w:numFmt w:val="lowerRoman"/>
      <w:lvlText w:val="%6."/>
      <w:lvlJc w:val="right"/>
      <w:pPr>
        <w:ind w:left="4668" w:hanging="180"/>
      </w:pPr>
    </w:lvl>
    <w:lvl w:ilvl="6" w:tplc="AEF8D7E6">
      <w:start w:val="1"/>
      <w:numFmt w:val="decimal"/>
      <w:lvlText w:val="%7."/>
      <w:lvlJc w:val="left"/>
      <w:pPr>
        <w:ind w:left="5388" w:hanging="360"/>
      </w:pPr>
    </w:lvl>
    <w:lvl w:ilvl="7" w:tplc="43D24656">
      <w:start w:val="1"/>
      <w:numFmt w:val="lowerLetter"/>
      <w:lvlText w:val="%8."/>
      <w:lvlJc w:val="left"/>
      <w:pPr>
        <w:ind w:left="6108" w:hanging="360"/>
      </w:pPr>
    </w:lvl>
    <w:lvl w:ilvl="8" w:tplc="B44A2FC4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styleId="a4" w:customStyle="1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aa" w:customStyle="1">
    <w:name w:val="Верхний колонтитул Знак"/>
    <w:basedOn w:val="a0"/>
    <w:link w:val="ab"/>
    <w:uiPriority w:val="99"/>
  </w:style>
  <w:style w:type="character" w:styleId="FooterChar" w:customStyle="1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d" w:customStyle="1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styleId="af2" w:customStyle="1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styleId="af5" w:customStyle="1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5">
    <w:name w:val="Title"/>
    <w:basedOn w:val="a"/>
    <w:link w:val="a4"/>
    <w:qFormat/>
    <w:pPr>
      <w:ind w:firstLine="935"/>
      <w:jc w:val="center"/>
    </w:pPr>
    <w:rPr>
      <w:b/>
      <w:bCs/>
      <w:sz w:val="28"/>
    </w:rPr>
  </w:style>
  <w:style w:type="paragraph" w:styleId="af9">
    <w:name w:val="Body Text Indent"/>
    <w:basedOn w:val="a"/>
    <w:pPr>
      <w:ind w:firstLine="935"/>
      <w:jc w:val="both"/>
    </w:pPr>
    <w:rPr>
      <w:sz w:val="28"/>
    </w:rPr>
  </w:style>
  <w:style w:type="paragraph" w:styleId="25">
    <w:name w:val="Body Text Indent 2"/>
    <w:basedOn w:val="a"/>
    <w:pPr>
      <w:ind w:firstLine="935"/>
      <w:jc w:val="both"/>
    </w:pPr>
    <w:rPr>
      <w:i/>
      <w:iCs/>
      <w:sz w:val="28"/>
    </w:rPr>
  </w:style>
  <w:style w:type="paragraph" w:styleId="afa">
    <w:name w:val="Body Text"/>
    <w:basedOn w:val="a"/>
    <w:pPr>
      <w:jc w:val="both"/>
    </w:pPr>
    <w:rPr>
      <w:sz w:val="28"/>
      <w:szCs w:val="20"/>
    </w:rPr>
  </w:style>
  <w:style w:type="paragraph" w:styleId="33">
    <w:name w:val="Body Text Indent 3"/>
    <w:basedOn w:val="a"/>
    <w:pPr>
      <w:ind w:firstLine="935"/>
      <w:jc w:val="both"/>
    </w:pPr>
    <w:rPr>
      <w:b/>
      <w:bCs/>
      <w:sz w:val="28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consultantplus://offline/ref=D707B7100014AA8888943EC3429312A4930690414240BC766305864501DD33F9A1324B6304C758BFDDD169B733q5QCI" TargetMode="External"/><Relationship Id="rId12" Type="http://schemas.openxmlformats.org/officeDocument/2006/relationships/hyperlink" Target="http://geb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5872</Characters>
  <CharactersWithSpaces>6889</CharactersWithSpaces>
  <Company>НСО</Company>
  <DocSecurity>0</DocSecurity>
  <HyperlinksChanged>false</HyperlinksChanged>
  <Lines>48</Lines>
  <LinksUpToDate>false</LinksUpToDate>
  <Pages>3</Pages>
  <Paragraphs>13</Paragraphs>
  <ScaleCrop>false</ScaleCrop>
  <SharedDoc>false</SharedDoc>
  <Template>Normal.dotm</Template>
  <TotalTime>5</TotalTime>
  <Words>1030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ggh</dc:creator>
  <cp:lastModifiedBy>Голота Лариса Борисовна</cp:lastModifiedBy>
  <cp:revision>3</cp:revision>
  <dcterms:created xsi:type="dcterms:W3CDTF">2025-06-30T02:18:00Z</dcterms:created>
  <dcterms:modified xsi:type="dcterms:W3CDTF">2025-06-30T04:29:00Z</dcterms:modified>
</cp:coreProperties>
</file>