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0"/>
        <w:jc w:val="center"/>
      </w:pPr>
      <w:r>
        <w:rPr>
          <w:sz w:val="20"/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02920" cy="5715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0292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9.60pt;height:45.0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ind w:firstLine="0"/>
        <w:jc w:val="center"/>
        <w:widowControl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ind w:firstLine="0"/>
        <w:jc w:val="center"/>
        <w:widowControl/>
        <w:rPr>
          <w:b/>
          <w:bCs/>
        </w:rPr>
      </w:pPr>
      <w:r>
        <w:rPr>
          <w:b/>
          <w:bCs/>
        </w:rPr>
        <w:t xml:space="preserve">МИНИСТЕРСТВО ПРОМЫШЛЕННОСТИ, ТОРГОВЛИ И РАЗВИТИЯ ПРЕДПРИНИМАТЕЛЬСТВА НОВОСИБИРСКОЙ ОБЛАСТИ</w:t>
      </w:r>
      <w:r>
        <w:rPr>
          <w:b/>
          <w:bCs/>
        </w:rPr>
      </w:r>
      <w:r>
        <w:rPr>
          <w:b/>
          <w:bCs/>
        </w:rPr>
      </w:r>
    </w:p>
    <w:p>
      <w:pPr>
        <w:ind w:firstLine="0"/>
        <w:jc w:val="center"/>
        <w:widowControl/>
        <w:rPr>
          <w:b/>
          <w:bCs/>
        </w:rPr>
      </w:pPr>
      <w:r>
        <w:rPr>
          <w:b/>
          <w:bCs/>
        </w:rPr>
        <w:t xml:space="preserve">(Минпромторг НСО)</w:t>
      </w:r>
      <w:r>
        <w:rPr>
          <w:b/>
          <w:bCs/>
        </w:rPr>
      </w:r>
      <w:r>
        <w:rPr>
          <w:b/>
          <w:bCs/>
        </w:rPr>
      </w:r>
    </w:p>
    <w:p>
      <w:pPr>
        <w:ind w:firstLine="0"/>
        <w:jc w:val="center"/>
        <w:widowControl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ind w:firstLine="0"/>
        <w:jc w:val="center"/>
        <w:widowControl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ПРИКАЗ</w:t>
      </w:r>
      <w:r>
        <w:rPr>
          <w:b/>
          <w:bCs/>
          <w:sz w:val="36"/>
          <w:szCs w:val="36"/>
        </w:rPr>
      </w:r>
      <w:r>
        <w:rPr>
          <w:b/>
          <w:bCs/>
          <w:sz w:val="36"/>
          <w:szCs w:val="36"/>
        </w:rPr>
      </w:r>
    </w:p>
    <w:p>
      <w:pPr>
        <w:ind w:firstLine="0"/>
        <w:widowControl/>
        <w:rPr>
          <w:u w:val="single"/>
        </w:rPr>
      </w:pPr>
      <w:r>
        <w:t xml:space="preserve">11.12.2024                                                                                                      № 384-НПА</w:t>
      </w:r>
      <w:r>
        <w:rPr>
          <w:u w:val="single"/>
        </w:rPr>
      </w:r>
      <w:r>
        <w:rPr>
          <w:u w:val="single"/>
        </w:rPr>
      </w:r>
    </w:p>
    <w:p>
      <w:pPr>
        <w:ind w:firstLine="0"/>
        <w:jc w:val="center"/>
        <w:widowControl/>
      </w:pPr>
      <w:r/>
      <w:r/>
    </w:p>
    <w:p>
      <w:pPr>
        <w:ind w:firstLine="0"/>
        <w:jc w:val="center"/>
        <w:widowControl/>
      </w:pPr>
      <w:r>
        <w:t xml:space="preserve">г. Новосибирск</w:t>
      </w:r>
      <w:r/>
    </w:p>
    <w:p>
      <w:pPr>
        <w:ind w:firstLine="0"/>
        <w:jc w:val="center"/>
        <w:widowControl/>
      </w:pPr>
      <w:r/>
      <w:r/>
    </w:p>
    <w:p>
      <w:pPr>
        <w:ind w:firstLine="0"/>
        <w:jc w:val="center"/>
      </w:pPr>
      <w:r>
        <w:t xml:space="preserve">Об утверждении Программы </w:t>
      </w:r>
      <w:r/>
    </w:p>
    <w:p>
      <w:pPr>
        <w:ind w:firstLine="0"/>
        <w:jc w:val="center"/>
      </w:pPr>
      <w:r>
        <w:t xml:space="preserve">про</w:t>
      </w:r>
      <w:r>
        <w:t xml:space="preserve">филактики рисков причинения вреда (ущерба) охраняемым законом ценностям при осуществлении регионального государственного контроля (надзора) в области розничной продажи алкогольной и спиртосодержащей продукции на территории Новосибирской области на 2025 год</w:t>
      </w:r>
      <w:r/>
    </w:p>
    <w:p>
      <w:pPr>
        <w:ind w:firstLine="0"/>
        <w:jc w:val="center"/>
        <w:widowControl/>
      </w:pPr>
      <w:r/>
      <w:r/>
    </w:p>
    <w:p>
      <w:pPr>
        <w:ind w:firstLine="0"/>
        <w:jc w:val="center"/>
        <w:widowControl/>
      </w:pPr>
      <w:r/>
      <w:r/>
    </w:p>
    <w:p>
      <w:pPr>
        <w:widowControl/>
      </w:pPr>
      <w: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</w:t>
      </w:r>
      <w:r>
        <w:br/>
        <w:t xml:space="preserve">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>
        <w:rPr>
          <w:b/>
        </w:rPr>
        <w:t xml:space="preserve">п</w:t>
      </w:r>
      <w:r>
        <w:rPr>
          <w:b/>
        </w:rPr>
        <w:t xml:space="preserve"> р и к а з ы в а ю:</w:t>
      </w:r>
      <w:r/>
    </w:p>
    <w:p>
      <w:pPr>
        <w:widowControl/>
      </w:pPr>
      <w:r>
        <w:t xml:space="preserve">1. Утвердить прилагаемую П</w:t>
      </w:r>
      <w:r>
        <w:t xml:space="preserve">рограмму профилактики рисков причинения вреда (ущерба) охраняемым законом ценностям при осуществлении регионального государственного контроля (надзора) в области розничной продажи алкогольной и спиртосодержащей продукции на территории Новосибирской области</w:t>
      </w:r>
      <w:r>
        <w:t xml:space="preserve"> </w:t>
      </w:r>
      <w:r>
        <w:t xml:space="preserve">на 2025 год.</w:t>
      </w:r>
      <w:r/>
    </w:p>
    <w:p>
      <w:pPr>
        <w:rPr>
          <w:lang w:eastAsia="en-US"/>
        </w:rPr>
      </w:pPr>
      <w:r>
        <w:t xml:space="preserve">2. </w:t>
      </w:r>
      <w:r>
        <w:t xml:space="preserve">Контроль за</w:t>
      </w:r>
      <w:r>
        <w:t xml:space="preserve"> исполнением настоящего приказа возложить на начальника управления лицензирования министерства промышленности, торговли и развития предпринимательства Новосибирской области Редько И.В.</w:t>
      </w:r>
      <w:r>
        <w:rPr>
          <w:lang w:eastAsia="en-US"/>
        </w:rPr>
      </w:r>
      <w:r>
        <w:rPr>
          <w:lang w:eastAsia="en-US"/>
        </w:rPr>
      </w:r>
    </w:p>
    <w:p>
      <w:pPr>
        <w:ind w:firstLine="0"/>
        <w:widowControl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ind w:firstLine="0"/>
        <w:widowControl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ind w:firstLine="0"/>
        <w:widowControl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ind w:firstLine="0"/>
        <w:tabs>
          <w:tab w:val="left" w:pos="4159" w:leader="none"/>
        </w:tabs>
        <w:rPr>
          <w:sz w:val="22"/>
          <w:szCs w:val="22"/>
        </w:rPr>
        <w:outlineLvl w:val="1"/>
      </w:pPr>
      <w:r>
        <w:rPr>
          <w:bCs/>
        </w:rPr>
        <w:t xml:space="preserve">Министр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А.А. Гончаров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0"/>
        <w:jc w:val="left"/>
        <w:widowControl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0"/>
        <w:jc w:val="left"/>
        <w:widowControl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0"/>
        <w:jc w:val="left"/>
        <w:widowControl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0"/>
        <w:jc w:val="left"/>
        <w:widowControl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0"/>
        <w:jc w:val="left"/>
        <w:widowControl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0"/>
        <w:jc w:val="left"/>
        <w:widowControl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0"/>
        <w:jc w:val="left"/>
        <w:widowControl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0"/>
        <w:jc w:val="left"/>
        <w:widowControl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0"/>
        <w:jc w:val="left"/>
        <w:widowControl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0"/>
        <w:jc w:val="left"/>
        <w:widowControl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0"/>
        <w:jc w:val="left"/>
        <w:widowControl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0"/>
        <w:jc w:val="left"/>
        <w:widowControl/>
        <w:tabs>
          <w:tab w:val="left" w:pos="851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А.Г. Буслаев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0"/>
        <w:jc w:val="left"/>
        <w:widowControl/>
        <w:rPr>
          <w:sz w:val="20"/>
          <w:szCs w:val="20"/>
        </w:rPr>
      </w:pPr>
      <w:r>
        <w:rPr>
          <w:sz w:val="20"/>
          <w:szCs w:val="20"/>
        </w:rPr>
        <w:t xml:space="preserve">(383) 238-61-73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ectPr>
          <w:headerReference w:type="default" r:id="rId9"/>
          <w:footnotePr/>
          <w:endnotePr/>
          <w:type w:val="nextPage"/>
          <w:pgSz w:w="11906" w:h="16838" w:orient="portrait"/>
          <w:pgMar w:top="1135" w:right="567" w:bottom="709" w:left="1418" w:header="709" w:footer="709" w:gutter="0"/>
          <w:cols w:num="1" w:sep="0" w:space="708" w:equalWidth="1"/>
          <w:docGrid w:linePitch="360"/>
        </w:sectPr>
      </w:pPr>
      <w:r/>
      <w:r/>
    </w:p>
    <w:p>
      <w:pPr>
        <w:ind w:firstLine="0"/>
        <w:jc w:val="right"/>
        <w:outlineLvl w:val="0"/>
      </w:pPr>
      <w:r>
        <w:t xml:space="preserve">УТВЕРЖДЕНА</w:t>
      </w:r>
      <w:r/>
    </w:p>
    <w:p>
      <w:pPr>
        <w:ind w:firstLine="0"/>
        <w:jc w:val="right"/>
      </w:pPr>
      <w:r>
        <w:t xml:space="preserve">приказом министерства промышленности,</w:t>
      </w:r>
      <w:r/>
    </w:p>
    <w:p>
      <w:pPr>
        <w:ind w:firstLine="0"/>
        <w:jc w:val="right"/>
      </w:pPr>
      <w:r>
        <w:t xml:space="preserve">торговли и развития предпринимательства</w:t>
      </w:r>
      <w:r/>
    </w:p>
    <w:p>
      <w:pPr>
        <w:ind w:firstLine="0"/>
        <w:jc w:val="right"/>
      </w:pPr>
      <w:r>
        <w:t xml:space="preserve">Новосибирской области</w:t>
      </w:r>
      <w:r/>
    </w:p>
    <w:p>
      <w:pPr>
        <w:ind w:firstLine="0"/>
        <w:jc w:val="right"/>
      </w:pPr>
      <w:r>
        <w:t xml:space="preserve">от 11.12.2024 № 384-НПА</w:t>
      </w:r>
      <w:r/>
    </w:p>
    <w:p>
      <w:pPr>
        <w:ind w:firstLine="0"/>
        <w:jc w:val="center"/>
      </w:pPr>
      <w:r/>
      <w:bookmarkStart w:id="0" w:name="Par279"/>
      <w:r/>
      <w:bookmarkEnd w:id="0"/>
      <w:r/>
      <w:r/>
    </w:p>
    <w:p>
      <w:pPr>
        <w:ind w:firstLine="0"/>
        <w:jc w:val="center"/>
        <w:rPr>
          <w:b/>
        </w:rPr>
      </w:pPr>
      <w:r>
        <w:rPr>
          <w:b/>
        </w:rPr>
        <w:t xml:space="preserve">Программа</w:t>
      </w:r>
      <w:r>
        <w:rPr>
          <w:b/>
        </w:rPr>
      </w:r>
      <w:r>
        <w:rPr>
          <w:b/>
        </w:rPr>
      </w:r>
    </w:p>
    <w:p>
      <w:pPr>
        <w:ind w:firstLine="0"/>
        <w:jc w:val="center"/>
        <w:rPr>
          <w:b/>
        </w:rPr>
      </w:pPr>
      <w:r>
        <w:rPr>
          <w:b/>
        </w:rPr>
        <w:t xml:space="preserve">проф</w:t>
      </w:r>
      <w:r>
        <w:rPr>
          <w:b/>
        </w:rPr>
        <w:t xml:space="preserve">илактики рисков причинения вреда (ущерба) охраняемым законом ценностям при осуществлении регионального государственного контроля (надзора) в области розничной продажи алкогольной и спиртосодержащей продукции на территории Новосибирской области на 2025 год </w:t>
      </w:r>
      <w:r>
        <w:rPr>
          <w:b/>
        </w:rPr>
        <w:br/>
        <w:t xml:space="preserve">(далее - Программа)</w:t>
      </w:r>
      <w:r>
        <w:rPr>
          <w:b/>
        </w:rPr>
      </w:r>
      <w:r>
        <w:rPr>
          <w:b/>
        </w:rPr>
      </w:r>
    </w:p>
    <w:p>
      <w:pPr>
        <w:ind w:firstLine="0"/>
        <w:jc w:val="center"/>
      </w:pPr>
      <w:r/>
      <w:r/>
    </w:p>
    <w:p>
      <w:pPr>
        <w:ind w:firstLine="0"/>
        <w:jc w:val="center"/>
      </w:pPr>
      <w:r/>
      <w:r/>
    </w:p>
    <w:p>
      <w:pPr>
        <w:ind w:firstLine="0"/>
        <w:jc w:val="center"/>
        <w:rPr>
          <w:b/>
        </w:rPr>
        <w:outlineLvl w:val="1"/>
      </w:pPr>
      <w:r>
        <w:rPr>
          <w:b/>
          <w:lang w:val="en-US"/>
        </w:rPr>
        <w:t xml:space="preserve">I</w:t>
      </w:r>
      <w:r>
        <w:rPr>
          <w:b/>
        </w:rPr>
        <w:t xml:space="preserve">. Анализ текущего состояния осуществления</w:t>
      </w:r>
      <w:r>
        <w:t xml:space="preserve"> </w:t>
      </w:r>
      <w:r>
        <w:rPr>
          <w:b/>
        </w:rPr>
        <w:t xml:space="preserve">регионального государ</w:t>
      </w:r>
      <w:r>
        <w:rPr>
          <w:b/>
        </w:rPr>
        <w:t xml:space="preserve">ственного контроля (надзора) в области розничной продажи алкогольной и спиртосодержащей продукции на территории Новосибирской области, описание текущего развития профилактической деятельности, характеристика проблем, на решение которых направлена Программа</w:t>
      </w:r>
      <w:r>
        <w:rPr>
          <w:b/>
        </w:rPr>
      </w:r>
      <w:r>
        <w:rPr>
          <w:b/>
        </w:rPr>
      </w:r>
    </w:p>
    <w:p>
      <w:pPr>
        <w:ind w:firstLine="0"/>
        <w:jc w:val="center"/>
      </w:pPr>
      <w:r/>
      <w:r/>
    </w:p>
    <w:p>
      <w:r>
        <w:t xml:space="preserve">1. </w:t>
      </w:r>
      <w:r>
        <w:t xml:space="preserve">Программа направлена на предотвращение рисков причинения вре</w:t>
      </w:r>
      <w:r>
        <w:t xml:space="preserve">да (ущерба) охраняемым законом ценностям, на предупреждение нарушений лицензионных (обязательных) требований, соблюдение которых оценивается министерством промышленности, торговли и развития предпринимательства Новосибирской области (далее - Министерство) </w:t>
      </w:r>
      <w:r>
        <w:rPr>
          <w:lang w:eastAsia="en-US"/>
        </w:rPr>
        <w:t xml:space="preserve">при осуществлении </w:t>
      </w:r>
      <w:r>
        <w:t xml:space="preserve">регионального государственного контроля (надзора) в области розничной продажи алкогольной и спиртосодержащей продукции на территории Новосибирской области</w:t>
      </w:r>
      <w:r>
        <w:t xml:space="preserve"> </w:t>
      </w:r>
      <w:r>
        <w:t xml:space="preserve">(далее – региональный государственный контроль).</w:t>
      </w:r>
      <w:r/>
    </w:p>
    <w:p>
      <w:pPr>
        <w:widowControl/>
      </w:pPr>
      <w:r>
        <w:t xml:space="preserve">2. Программа определяет порядок провед</w:t>
      </w:r>
      <w:r>
        <w:t xml:space="preserve">ения Министерством профилактических мероприятий, направленных на предотвращение рисков причинения вреда (ущерба) охраняемым законом ценностям, на предупреждение нарушений лицензионных (обязательных) требований, соблюдение которых оценивается Министерством </w:t>
      </w:r>
      <w:r>
        <w:rPr>
          <w:lang w:eastAsia="en-US"/>
        </w:rPr>
        <w:t xml:space="preserve">при осуществлении </w:t>
      </w:r>
      <w:r>
        <w:t xml:space="preserve">регионального государственного контроля в области розничной продажи алкогольной и спиртосодержащей продукции на территории Новосибирской области.</w:t>
      </w:r>
      <w:r/>
    </w:p>
    <w:p>
      <w:pPr>
        <w:widowControl/>
      </w:pPr>
      <w:r>
        <w:t xml:space="preserve">3. </w:t>
      </w:r>
      <w:r>
        <w:rPr>
          <w:highlight w:val="white"/>
        </w:rPr>
        <w:t xml:space="preserve">Региональный государственный контроль осуществляется в целях предупреждения, выявления и пресечения нарушений лицензионных (обязательных) требований в области розничной продажи алкогольной</w:t>
      </w:r>
      <w:r>
        <w:rPr>
          <w:highlight w:val="white"/>
        </w:rPr>
        <w:br/>
        <w:t xml:space="preserve">и спиртосодержащей продукции, установленных</w:t>
      </w:r>
      <w:r>
        <w:t xml:space="preserve"> </w:t>
      </w:r>
      <w:hyperlink r:id="rId13" w:tooltip="https://internet.garant.ru/#/document/10105489/entry/0" w:anchor="/document/10105489/entry/0" w:history="1">
        <w:r>
          <w:rPr>
            <w:rStyle w:val="886"/>
            <w:color w:val="auto"/>
            <w:highlight w:val="white"/>
            <w:u w:val="none"/>
          </w:rPr>
          <w:t xml:space="preserve">Федеральным законом</w:t>
        </w:r>
        <w:r>
          <w:rPr>
            <w:rStyle w:val="886"/>
            <w:color w:val="auto"/>
            <w:u w:val="none"/>
          </w:rPr>
          <w:br/>
        </w:r>
      </w:hyperlink>
      <w:r>
        <w:rPr>
          <w:highlight w:val="white"/>
        </w:rPr>
        <w:t xml:space="preserve">от 22.11.1995 № 171-ФЗ «О государственном регулировании производства</w:t>
      </w:r>
      <w:r>
        <w:rPr>
          <w:highlight w:val="white"/>
        </w:rPr>
        <w:br/>
        <w:t xml:space="preserve">и оборота этилового спирта, алкогольной и спиртосодержащей продукции</w:t>
      </w:r>
      <w:r>
        <w:rPr>
          <w:highlight w:val="white"/>
        </w:rPr>
        <w:br/>
        <w:t xml:space="preserve">и об ограничении потребления (распития) алкогольной продукции»</w:t>
      </w:r>
      <w:r>
        <w:rPr>
          <w:highlight w:val="white"/>
        </w:rPr>
        <w:br/>
        <w:t xml:space="preserve">(далее - Федеральный закон № 171-ФЗ), иными федеральными законами</w:t>
      </w:r>
      <w:r>
        <w:rPr>
          <w:highlight w:val="white"/>
        </w:rPr>
        <w:br/>
        <w:t xml:space="preserve">и принимаемыми в соответствии с ними</w:t>
      </w:r>
      <w:r>
        <w:rPr>
          <w:highlight w:val="white"/>
        </w:rPr>
        <w:t xml:space="preserve"> нормативными правовыми актами </w:t>
      </w:r>
      <w:r>
        <w:rPr>
          <w:highlight w:val="white"/>
        </w:rPr>
        <w:t xml:space="preserve">Российской Федерации, законами и иными нормативными правовыми актами Новосибирской области.</w:t>
      </w:r>
      <w:r/>
    </w:p>
    <w:p>
      <w:pPr>
        <w:widowControl/>
      </w:pPr>
      <w:r>
        <w:t xml:space="preserve">4. </w:t>
      </w:r>
      <w:r>
        <w:rPr>
          <w:highlight w:val="white"/>
        </w:rPr>
        <w:t xml:space="preserve">Предметом регионального государственного контроля является соблюдение контролируемыми лицами, осуществляющими деятельность</w:t>
      </w:r>
      <w:r>
        <w:rPr>
          <w:highlight w:val="white"/>
        </w:rPr>
        <w:br/>
        <w:t xml:space="preserve">по розничной продаже алкогольной и спиртосодержащей продукции, лицензионных (обязательных) требований.</w:t>
      </w:r>
      <w:r/>
    </w:p>
    <w:p>
      <w:pPr>
        <w:widowControl/>
      </w:pPr>
      <w:r>
        <w:t xml:space="preserve">5. </w:t>
      </w:r>
      <w:r>
        <w:rPr>
          <w:highlight w:val="white"/>
        </w:rPr>
        <w:t xml:space="preserve">При осуществлении регионального государственного контроля Министерство осуществляет контроль </w:t>
      </w:r>
      <w:r>
        <w:rPr>
          <w:highlight w:val="white"/>
        </w:rPr>
        <w:t xml:space="preserve">за</w:t>
      </w:r>
      <w:r>
        <w:rPr>
          <w:highlight w:val="white"/>
        </w:rPr>
        <w:t xml:space="preserve">:</w:t>
      </w:r>
      <w:r/>
    </w:p>
    <w:p>
      <w:pPr>
        <w:widowControl/>
      </w:pPr>
      <w:r>
        <w:rPr>
          <w:highlight w:val="white"/>
        </w:rPr>
        <w:t xml:space="preserve">1)</w:t>
      </w:r>
      <w:r>
        <w:t xml:space="preserve"> </w:t>
      </w:r>
      <w:r>
        <w:rPr>
          <w:highlight w:val="white"/>
        </w:rPr>
        <w:t xml:space="preserve">соблюдением организациями лицензионных требований к розничной продаже алкогольной продукции и розни</w:t>
      </w:r>
      <w:r>
        <w:rPr>
          <w:highlight w:val="white"/>
        </w:rPr>
        <w:t xml:space="preserve">чной продаже алкогольной продукции при оказании услуг общественного питания (за исключением лицензионных требований к производству, поставкам, хранению и розничной продаже произведенной сельскохозяйственными товаропроизводителями винодельческой продукции);</w:t>
      </w:r>
      <w:r/>
    </w:p>
    <w:p>
      <w:pPr>
        <w:widowControl/>
      </w:pPr>
      <w:r>
        <w:rPr>
          <w:highlight w:val="white"/>
        </w:rPr>
        <w:t xml:space="preserve">2)</w:t>
      </w:r>
      <w:r>
        <w:t xml:space="preserve"> </w:t>
      </w:r>
      <w:r>
        <w:rPr>
          <w:highlight w:val="white"/>
        </w:rPr>
        <w:t xml:space="preserve">соблюдением организациями, индивидуальными предпринимателями обязательных требований к розничной продаже алкогольной продукции</w:t>
      </w:r>
      <w:r>
        <w:rPr>
          <w:highlight w:val="white"/>
        </w:rPr>
        <w:br/>
        <w:t xml:space="preserve">и розничной продаже алкогольной продукции при оказании услуг общественного питания, установленных</w:t>
      </w:r>
      <w:r>
        <w:t xml:space="preserve"> </w:t>
      </w:r>
      <w:hyperlink r:id="rId14" w:tooltip="https://internet.garant.ru/#/document/10105489/entry/16" w:anchor="/document/10105489/entry/16" w:history="1">
        <w:r>
          <w:rPr>
            <w:rStyle w:val="886"/>
            <w:color w:val="auto"/>
            <w:highlight w:val="white"/>
            <w:u w:val="none"/>
          </w:rPr>
          <w:t xml:space="preserve">статьей 16</w:t>
        </w:r>
        <w:r>
          <w:rPr>
            <w:rStyle w:val="886"/>
            <w:color w:val="auto"/>
            <w:u w:val="none"/>
          </w:rPr>
          <w:t xml:space="preserve"> </w:t>
        </w:r>
      </w:hyperlink>
      <w:r>
        <w:rPr>
          <w:highlight w:val="white"/>
        </w:rPr>
        <w:t xml:space="preserve">Федерального закона № 171-ФЗ, обязательных требований к роз</w:t>
      </w:r>
      <w:r>
        <w:rPr>
          <w:highlight w:val="white"/>
        </w:rPr>
        <w:t xml:space="preserve">ничной продаже спиртосодержащей продукции, обязательных требований к фиксации в единой государственной автоматизированной информационной системе сведений об обороте алкогольной продукции, обязательных требований к маркировке пива и пивных напитков, сидра, </w:t>
      </w:r>
      <w:r>
        <w:rPr>
          <w:highlight w:val="white"/>
        </w:rPr>
        <w:t xml:space="preserve">пуаре</w:t>
      </w:r>
      <w:r>
        <w:rPr>
          <w:highlight w:val="white"/>
        </w:rPr>
        <w:t xml:space="preserve">, медовухи средствами идентификации и к представлению сведений об обороте пива и пивных напитков, сидра, </w:t>
      </w:r>
      <w:r>
        <w:rPr>
          <w:highlight w:val="white"/>
        </w:rPr>
        <w:t xml:space="preserve">пуаре</w:t>
      </w:r>
      <w:r>
        <w:rPr>
          <w:highlight w:val="white"/>
        </w:rPr>
        <w:t xml:space="preserve">, медовухи, установленных правилами маркировки пива, лицами, осуществляющими их розничную продажу, за исключением обязательных требований, установленных техническими регламентами;</w:t>
      </w:r>
      <w:r/>
    </w:p>
    <w:p>
      <w:pPr>
        <w:widowControl/>
        <w:rPr>
          <w:highlight w:val="white"/>
        </w:rPr>
      </w:pPr>
      <w:r>
        <w:rPr>
          <w:highlight w:val="white"/>
        </w:rPr>
        <w:t xml:space="preserve">3)</w:t>
      </w:r>
      <w:r>
        <w:t xml:space="preserve"> </w:t>
      </w:r>
      <w:r>
        <w:rPr>
          <w:highlight w:val="white"/>
        </w:rPr>
        <w:t xml:space="preserve">соблюдением организациями, индивидуальными предпринимателями, крестьянскими (фермерскими) хозяйствами обязательных требований</w:t>
      </w:r>
      <w:r>
        <w:rPr>
          <w:highlight w:val="white"/>
        </w:rPr>
        <w:br/>
        <w:t xml:space="preserve">к декларированию объема розничной продажи алкогольной и спиртосодержащей продукции, объема собранного винограда для производства винодельческой продукции.</w:t>
      </w:r>
      <w:r>
        <w:rPr>
          <w:highlight w:val="white"/>
        </w:rPr>
      </w:r>
      <w:r>
        <w:rPr>
          <w:highlight w:val="white"/>
        </w:rPr>
      </w:r>
    </w:p>
    <w:p>
      <w:pPr>
        <w:widowControl/>
      </w:pPr>
      <w:r>
        <w:t xml:space="preserve">6. Контролируемыми лицами при осуществлении регионального государственного контроля являются:</w:t>
      </w:r>
      <w:r/>
    </w:p>
    <w:p>
      <w:pPr>
        <w:widowControl/>
      </w:pPr>
      <w:r>
        <w:t xml:space="preserve">1) организации (юридические лица), осуществляющие розничную продажу алкогольной продукции;</w:t>
      </w:r>
      <w:r/>
    </w:p>
    <w:p>
      <w:pPr>
        <w:widowControl/>
      </w:pPr>
      <w:r>
        <w:t xml:space="preserve">2) организации (юридические лица), осуществляющие розничную продажу алкогольной продукции при оказании услуг общественного питания;</w:t>
      </w:r>
      <w:r/>
    </w:p>
    <w:p>
      <w:pPr>
        <w:widowControl/>
      </w:pPr>
      <w:r>
        <w:t xml:space="preserve">3) организации (юридические лица) и индивидуальные предприниматели, осуществляющие розничную продажу пива, пивных напитков, сидра, </w:t>
      </w:r>
      <w:r>
        <w:t xml:space="preserve">пуаре</w:t>
      </w:r>
      <w:r>
        <w:t xml:space="preserve">, медовухи;</w:t>
      </w:r>
      <w:r/>
    </w:p>
    <w:p>
      <w:pPr>
        <w:widowControl/>
      </w:pPr>
      <w:r>
        <w:t xml:space="preserve">4) организации (юридические лица) и индивидуальные предприниматели, осуществляющие розничную продажу пива, пивных напитков, сидра, </w:t>
      </w:r>
      <w:r>
        <w:t xml:space="preserve">пуаре</w:t>
      </w:r>
      <w:r>
        <w:t xml:space="preserve">, медовухи при оказании услуг общественного питания, розничную продажу спиртосодержащей продукции;</w:t>
      </w:r>
      <w:r/>
    </w:p>
    <w:p>
      <w:pPr>
        <w:widowControl/>
      </w:pPr>
      <w:r>
        <w:t xml:space="preserve">5) организации (юридические лица), осуществляющие розничную продажу алкогольной продукции в населенных пунктах, указанных в </w:t>
      </w:r>
      <w:hyperlink r:id="rId15" w:tooltip="https://internet.garant.ru/#/document/10105489/entry/80213" w:anchor="/document/10105489/entry/80213" w:history="1">
        <w:r>
          <w:rPr>
            <w:rStyle w:val="886"/>
            <w:color w:val="auto"/>
            <w:u w:val="none"/>
          </w:rPr>
          <w:t xml:space="preserve">подпункте 3</w:t>
        </w:r>
        <w:r>
          <w:rPr>
            <w:rStyle w:val="886"/>
            <w:color w:val="auto"/>
            <w:u w:val="none"/>
          </w:rPr>
          <w:br/>
          <w:t xml:space="preserve">пункта 2.1 статьи 8 </w:t>
        </w:r>
      </w:hyperlink>
      <w:r>
        <w:t xml:space="preserve">Федерального закона № 171-ФЗ;</w:t>
      </w:r>
      <w:r/>
    </w:p>
    <w:p>
      <w:pPr>
        <w:widowControl/>
      </w:pPr>
      <w:r>
        <w:t xml:space="preserve">6) организации (юридические лица), осуществляющие розничную продажу алкогольной продукции, размещенную на бортах воздушных судов в качестве припасов в соответствии с правом Евразийского экономического союза</w:t>
      </w:r>
      <w:r>
        <w:br/>
        <w:t xml:space="preserve">и законодательством Российской Федерации о таможенном деле;</w:t>
      </w:r>
      <w:r/>
    </w:p>
    <w:p>
      <w:pPr>
        <w:widowControl/>
      </w:pPr>
      <w:r>
        <w:t xml:space="preserve">7) организации (юридические лица), осуществляющие розничную продажу спиртосодержащей непищевой продукции с содержанием этилового спирта</w:t>
      </w:r>
      <w:r>
        <w:br/>
        <w:t xml:space="preserve">более 25 процентов объема готовой продукции.</w:t>
      </w:r>
      <w:r/>
    </w:p>
    <w:p>
      <w:r>
        <w:t xml:space="preserve">7. Перечень норма</w:t>
      </w:r>
      <w:r>
        <w:t xml:space="preserve">тивных правовых актов или их отдельных частей, содержащих обязательные требования, оценка соблюдения которых является предметом регионального государственного контроля, утвержден приказом Министерства от 26.03.2019 № 81 (далее – Перечень), который размещен</w:t>
      </w:r>
      <w:r>
        <w:br/>
        <w:t xml:space="preserve">на официальном сайте Министерства в информационно-телекоммуникационной сети «Интернет».</w:t>
      </w:r>
      <w:r/>
    </w:p>
    <w:p>
      <w:r>
        <w:t xml:space="preserve">8. Основной проблемой, на решение которой направлены предусмотренные Программой мероприятия, является нарушение контролируемыми лицами лицензионных (обязательных) требований, установленных законодательством,</w:t>
      </w:r>
      <w:r>
        <w:br/>
        <w:t xml:space="preserve">при осуществлении розничной продажи алкогольной и спиртосодержащей продукции на территории Новосибирской области.</w:t>
      </w:r>
      <w:r/>
    </w:p>
    <w:p>
      <w:pPr>
        <w:rPr>
          <w:color w:val="auto"/>
        </w:rPr>
      </w:pPr>
      <w:r>
        <w:rPr>
          <w:color w:val="auto"/>
        </w:rPr>
        <w:t xml:space="preserve">Наиболее распространенные виды нарушений в области розничной продажи алкогольной и спиртосодержащей продукции, допускаемые контролируемыми лицами</w:t>
      </w:r>
      <w:r>
        <w:rPr>
          <w:color w:val="auto"/>
        </w:rPr>
        <w:t xml:space="preserve">:</w:t>
      </w:r>
      <w:r>
        <w:rPr>
          <w:color w:val="auto"/>
        </w:rPr>
      </w:r>
      <w:r>
        <w:rPr>
          <w:color w:val="auto"/>
        </w:rPr>
      </w:r>
    </w:p>
    <w:p>
      <w:r>
        <w:t xml:space="preserve">- нахождение торгового объекта или объекта общественного питания</w:t>
      </w:r>
      <w:r>
        <w:br/>
        <w:t xml:space="preserve">в границах территорий, на которых не допускается розничная продажа алкогольной и спиртосодержащей продукции;</w:t>
      </w:r>
      <w:r/>
    </w:p>
    <w:p>
      <w:r>
        <w:t xml:space="preserve">- несоблюдение порядка учета оборота алкогольной и спиртосодержащей продукции в единой государственной автоматизированной информационной системе учета объема производства и оборота этилового спирта, алкогольной</w:t>
      </w:r>
      <w:r>
        <w:br/>
        <w:t xml:space="preserve">и спиртосодержащей продукции;</w:t>
      </w:r>
      <w:r/>
    </w:p>
    <w:p>
      <w:r>
        <w:t xml:space="preserve">- розничная продажа алкогольной продукции без соответствующей лицензии;</w:t>
      </w:r>
      <w:r/>
    </w:p>
    <w:p>
      <w:r>
        <w:t xml:space="preserve">- розничная продажа алкогольной продукции без сопроводительных документов, удостоверяющих легальность ее производства и оборота, определенных Федеральным законом № 171-ФЗ;</w:t>
      </w:r>
      <w:r/>
    </w:p>
    <w:p>
      <w:r>
        <w:t xml:space="preserve">- розничная продажа алкогольной продукции без маркировки</w:t>
        <w:br/>
        <w:t xml:space="preserve">в соответствии со статьей 12 Федерального закона № 171-ФЗ;</w:t>
      </w:r>
      <w:r/>
    </w:p>
    <w:p>
      <w:r>
        <w:t xml:space="preserve">- нарушение установленных законодательством порядка и сроков представления деклараций об объеме розничной продажи алкогольной продукции;</w:t>
      </w:r>
      <w:r/>
    </w:p>
    <w:p>
      <w:r>
        <w:t xml:space="preserve">- розничная продажа алкогольной продукции с нарушением иных </w:t>
      </w:r>
      <w:r>
        <w:t xml:space="preserve">лицензионных (обязательных) требований, предусмотренных законодательством.</w:t>
      </w:r>
      <w:r/>
    </w:p>
    <w:p>
      <w:r>
        <w:t xml:space="preserve">Указанная Программа предусматривает комплекс мероприятий</w:t>
      </w:r>
      <w:r>
        <w:br/>
        <w:t xml:space="preserve">по профилактике нарушений лицензионных (обязательных) требований, соблюдение которых оценивается Министерством при осуществлении регионального государственного контроля.</w:t>
      </w:r>
      <w:r/>
    </w:p>
    <w:p>
      <w:r>
        <w:t xml:space="preserve">9. Количество контролируемых лиц по состоянию на 1 сентября 2024 года составляло 4 549 единиц.</w:t>
      </w:r>
      <w:r/>
    </w:p>
    <w:p>
      <w:r>
        <w:t xml:space="preserve">10. Коли</w:t>
      </w:r>
      <w:r>
        <w:t xml:space="preserve">чество действующих лицензий на розничную продажу алкогольной продукции и розничную продажу алкогольной продукции при оказании услуг общественного питания и данные о проведенных мероприятиях по региональному государственному контролю представлены в таблице.</w:t>
      </w:r>
      <w:r/>
    </w:p>
    <w:p>
      <w:pPr>
        <w:ind w:firstLine="540"/>
        <w:jc w:val="right"/>
        <w:widowControl/>
        <w:rPr>
          <w:lang w:eastAsia="en-US"/>
        </w:rPr>
        <w:outlineLvl w:val="0"/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ind w:firstLine="540"/>
        <w:jc w:val="right"/>
        <w:widowControl/>
        <w:rPr>
          <w:lang w:eastAsia="en-US"/>
        </w:rPr>
        <w:outlineLvl w:val="0"/>
      </w:pPr>
      <w:r>
        <w:rPr>
          <w:lang w:eastAsia="en-US"/>
        </w:rPr>
        <w:t xml:space="preserve">Таблица</w:t>
      </w:r>
      <w:r>
        <w:rPr>
          <w:lang w:eastAsia="en-US"/>
        </w:rPr>
      </w:r>
      <w:r>
        <w:rPr>
          <w:lang w:eastAsia="en-US"/>
        </w:rPr>
      </w:r>
    </w:p>
    <w:p>
      <w:pPr>
        <w:ind w:firstLine="540"/>
        <w:jc w:val="right"/>
        <w:widowControl/>
        <w:rPr>
          <w:lang w:eastAsia="en-US"/>
        </w:rPr>
        <w:outlineLvl w:val="0"/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ind w:firstLine="0"/>
        <w:jc w:val="center"/>
        <w:widowControl/>
        <w:rPr>
          <w:bCs/>
          <w:lang w:eastAsia="en-US"/>
        </w:rPr>
      </w:pPr>
      <w:r>
        <w:t xml:space="preserve">Количество действующих лицензий на розничную продажу алкогольной продукции и розничную продажу алкогольной продукции при оказании услуг общественного питания и данные о проведенных мероприятиях по региональному государственному контролю</w:t>
      </w:r>
      <w:r>
        <w:rPr>
          <w:bCs/>
          <w:lang w:eastAsia="en-US"/>
        </w:rPr>
        <w:t xml:space="preserve"> (за 8 месяцев 2024 года)</w:t>
      </w:r>
      <w:r>
        <w:rPr>
          <w:bCs/>
          <w:lang w:eastAsia="en-US"/>
        </w:rPr>
      </w:r>
      <w:r>
        <w:rPr>
          <w:bCs/>
          <w:lang w:eastAsia="en-US"/>
        </w:rPr>
      </w:r>
    </w:p>
    <w:p>
      <w:pPr>
        <w:ind w:firstLine="540"/>
        <w:jc w:val="center"/>
        <w:widowControl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10"/>
        <w:gridCol w:w="7490"/>
        <w:gridCol w:w="1843"/>
      </w:tblGrid>
      <w:tr>
        <w:tblPrEx/>
        <w:trPr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lang w:eastAsia="en-US"/>
              </w:rPr>
            </w:pPr>
            <w:r>
              <w:rPr>
                <w:lang w:eastAsia="en-US"/>
              </w:rPr>
              <w:t xml:space="preserve">№</w:t>
            </w:r>
            <w:r>
              <w:rPr>
                <w:lang w:eastAsia="en-US"/>
              </w:rPr>
              <w:t xml:space="preserve">п</w:t>
            </w:r>
            <w:r>
              <w:rPr>
                <w:lang w:eastAsia="en-US"/>
              </w:rPr>
              <w:t xml:space="preserve">/п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9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показателя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lang w:eastAsia="en-US"/>
              </w:rPr>
            </w:pPr>
            <w:r>
              <w:rPr>
                <w:lang w:eastAsia="en-US"/>
              </w:rPr>
              <w:t xml:space="preserve">2024 год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textDirection w:val="lrTb"/>
            <w:noWrap w:val="false"/>
          </w:tcPr>
          <w:p>
            <w:pPr>
              <w:ind w:firstLine="0"/>
              <w:jc w:val="center"/>
              <w:widowControl/>
            </w:pPr>
            <w:r>
              <w:rPr>
                <w:lang w:eastAsia="en-US"/>
              </w:rPr>
              <w:t xml:space="preserve">1.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90" w:type="dxa"/>
            <w:textDirection w:val="lrTb"/>
            <w:noWrap w:val="false"/>
          </w:tcPr>
          <w:p>
            <w:pPr>
              <w:ind w:firstLine="0"/>
              <w:widowControl/>
            </w:pPr>
            <w:r>
              <w:rPr>
                <w:lang w:eastAsia="en-US"/>
              </w:rPr>
              <w:t xml:space="preserve">Количество действующих лицензий на розничную продажу алкогольной продукции и розничную продажу алкогольной продукции при оказании услуг общественного питания</w:t>
            </w:r>
            <w:r>
              <w:rPr>
                <w:lang w:eastAsia="en-US"/>
              </w:rPr>
              <w:br/>
              <w:t xml:space="preserve">(далее – лицензии):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highlight w:val="yellow"/>
              </w:rPr>
            </w:pPr>
            <w:r>
              <w:rPr>
                <w:lang w:eastAsia="en-US"/>
              </w:rPr>
              <w:t xml:space="preserve">741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textDirection w:val="lrTb"/>
            <w:noWrap w:val="false"/>
          </w:tcPr>
          <w:p>
            <w:pPr>
              <w:ind w:firstLine="0"/>
              <w:jc w:val="center"/>
              <w:widowControl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90" w:type="dxa"/>
            <w:textDirection w:val="lrTb"/>
            <w:noWrap w:val="false"/>
          </w:tcPr>
          <w:p>
            <w:pPr>
              <w:ind w:firstLine="0"/>
              <w:widowControl/>
            </w:pPr>
            <w:r>
              <w:rPr>
                <w:lang w:eastAsia="en-US"/>
              </w:rPr>
              <w:t xml:space="preserve">1) на розничную продажу алкогольной продукции;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highlight w:val="yellow"/>
              </w:rPr>
            </w:pPr>
            <w:r>
              <w:rPr>
                <w:lang w:eastAsia="en-US"/>
              </w:rPr>
              <w:t xml:space="preserve">281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>
          <w:trHeight w:val="73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textDirection w:val="lrTb"/>
            <w:noWrap w:val="false"/>
          </w:tcPr>
          <w:p>
            <w:pPr>
              <w:ind w:firstLine="0"/>
              <w:jc w:val="center"/>
              <w:widowControl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90" w:type="dxa"/>
            <w:textDirection w:val="lrTb"/>
            <w:noWrap w:val="false"/>
          </w:tcPr>
          <w:p>
            <w:pPr>
              <w:ind w:firstLine="0"/>
              <w:widowControl/>
            </w:pPr>
            <w:r>
              <w:rPr>
                <w:lang w:eastAsia="en-US"/>
              </w:rPr>
              <w:t xml:space="preserve">2) розничную продажу алкогольной продукции при оказании услуг общественного питания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highlight w:val="yellow"/>
              </w:rPr>
            </w:pPr>
            <w:r>
              <w:rPr>
                <w:lang w:eastAsia="en-US"/>
              </w:rPr>
              <w:t xml:space="preserve">460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>
          <w:trHeight w:val="45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textDirection w:val="lrTb"/>
            <w:noWrap w:val="false"/>
          </w:tcPr>
          <w:p>
            <w:pPr>
              <w:ind w:firstLine="0"/>
              <w:jc w:val="center"/>
              <w:widowControl/>
            </w:pPr>
            <w:r>
              <w:rPr>
                <w:lang w:eastAsia="en-US"/>
              </w:rPr>
              <w:t xml:space="preserve">2.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90" w:type="dxa"/>
            <w:textDirection w:val="lrTb"/>
            <w:noWrap w:val="false"/>
          </w:tcPr>
          <w:p>
            <w:pPr>
              <w:ind w:firstLine="0"/>
              <w:widowControl/>
            </w:pPr>
            <w:r>
              <w:rPr>
                <w:lang w:eastAsia="en-US"/>
              </w:rPr>
              <w:t xml:space="preserve">Количество рассмотренных заявлений о предоставлении, переоформлении, продлении лицензий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ind w:firstLine="0"/>
              <w:jc w:val="center"/>
              <w:rPr>
                <w:highlight w:val="yellow"/>
              </w:rPr>
            </w:pPr>
            <w:r>
              <w:rPr>
                <w:lang w:eastAsia="en-US"/>
              </w:rPr>
              <w:t xml:space="preserve">741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textDirection w:val="lrTb"/>
            <w:noWrap w:val="false"/>
          </w:tcPr>
          <w:p>
            <w:pPr>
              <w:ind w:firstLine="0"/>
              <w:jc w:val="center"/>
              <w:widowControl/>
            </w:pPr>
            <w:r>
              <w:rPr>
                <w:lang w:eastAsia="en-US"/>
              </w:rPr>
              <w:t xml:space="preserve">3.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90" w:type="dxa"/>
            <w:textDirection w:val="lrTb"/>
            <w:noWrap w:val="false"/>
          </w:tcPr>
          <w:p>
            <w:pPr>
              <w:ind w:firstLine="0"/>
            </w:pPr>
            <w:r>
              <w:rPr>
                <w:lang w:eastAsia="en-US"/>
              </w:rPr>
              <w:t xml:space="preserve">Количество проведенных оценок соответствия соискателя лицензии (лицензиата) лицензионным требованиям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ind w:firstLine="0"/>
              <w:jc w:val="center"/>
              <w:rPr>
                <w:highlight w:val="yellow"/>
              </w:rPr>
            </w:pPr>
            <w:r>
              <w:rPr>
                <w:lang w:val="en-US" w:eastAsia="en-US"/>
              </w:rPr>
              <w:t xml:space="preserve">1296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color w:val="auto"/>
              </w:rPr>
            </w:pPr>
            <w:r>
              <w:rPr>
                <w:color w:val="auto"/>
                <w:lang w:eastAsia="en-US"/>
              </w:rPr>
              <w:t xml:space="preserve">4.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90" w:type="dxa"/>
            <w:textDirection w:val="lrTb"/>
            <w:noWrap w:val="false"/>
          </w:tcPr>
          <w:p>
            <w:pPr>
              <w:ind w:firstLine="0"/>
              <w:widowControl/>
              <w:rPr>
                <w:color w:val="auto"/>
              </w:rPr>
            </w:pPr>
            <w:r>
              <w:rPr>
                <w:color w:val="auto"/>
                <w:lang w:eastAsia="en-US"/>
              </w:rPr>
              <w:t xml:space="preserve">Количество контрольных (надзорных) мероприятий, проведенных в отношении контролируемых лиц</w:t>
            </w:r>
            <w:r>
              <w:rPr>
                <w:color w:val="auto"/>
                <w:lang w:eastAsia="en-US"/>
              </w:rPr>
              <w:t xml:space="preserve">, из них: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color w:val="auto"/>
                <w:highlight w:val="yellow"/>
              </w:rPr>
            </w:pPr>
            <w:r>
              <w:rPr>
                <w:color w:val="auto"/>
                <w:lang w:eastAsia="en-US"/>
              </w:rPr>
              <w:t xml:space="preserve">22</w:t>
            </w:r>
            <w:r>
              <w:rPr>
                <w:color w:val="auto"/>
                <w:highlight w:val="yellow"/>
              </w:rPr>
            </w:r>
            <w:r>
              <w:rPr>
                <w:color w:val="auto"/>
                <w:highlight w:val="yellow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  <w:lang w:eastAsia="en-US"/>
              </w:rPr>
              <w:t xml:space="preserve">4.1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90" w:type="dxa"/>
            <w:textDirection w:val="lrTb"/>
            <w:noWrap w:val="false"/>
          </w:tcPr>
          <w:p>
            <w:pPr>
              <w:ind w:firstLine="0"/>
              <w:widowControl/>
              <w:rPr>
                <w:color w:val="auto"/>
              </w:rPr>
            </w:pPr>
            <w:r>
              <w:rPr>
                <w:color w:val="auto"/>
                <w:lang w:eastAsia="en-US"/>
              </w:rPr>
              <w:t xml:space="preserve">без взаимодействия с контролируемым лицом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color w:val="auto"/>
              </w:rPr>
            </w:pPr>
            <w:r>
              <w:rPr>
                <w:color w:val="auto"/>
                <w:lang w:eastAsia="en-US"/>
              </w:rPr>
              <w:t xml:space="preserve">16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textDirection w:val="lrTb"/>
            <w:noWrap w:val="false"/>
          </w:tcPr>
          <w:p>
            <w:pPr>
              <w:ind w:firstLine="0"/>
              <w:jc w:val="center"/>
              <w:widowControl/>
            </w:pPr>
            <w:r>
              <w:rPr>
                <w:lang w:eastAsia="en-US"/>
              </w:rPr>
              <w:t xml:space="preserve">5.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90" w:type="dxa"/>
            <w:textDirection w:val="lrTb"/>
            <w:noWrap w:val="false"/>
          </w:tcPr>
          <w:p>
            <w:pPr>
              <w:ind w:firstLine="0"/>
              <w:widowControl/>
            </w:pPr>
            <w:r>
              <w:rPr>
                <w:lang w:eastAsia="en-US"/>
              </w:rPr>
              <w:t xml:space="preserve">Составлено протоколов об административных правонарушениях по результатам проведенных контрольных (надзорных) мероприятий в отношении контролируемых лиц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highlight w:val="yellow"/>
              </w:rPr>
            </w:pPr>
            <w:r>
              <w:rPr>
                <w:lang w:val="en-US" w:eastAsia="en-US"/>
              </w:rPr>
              <w:t xml:space="preserve">0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>
          <w:trHeight w:val="13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textDirection w:val="lrTb"/>
            <w:noWrap w:val="false"/>
          </w:tcPr>
          <w:p>
            <w:pPr>
              <w:ind w:firstLine="0"/>
              <w:jc w:val="center"/>
              <w:widowControl/>
            </w:pPr>
            <w:r>
              <w:rPr>
                <w:lang w:eastAsia="en-US"/>
              </w:rPr>
              <w:t xml:space="preserve">6.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90" w:type="dxa"/>
            <w:textDirection w:val="lrTb"/>
            <w:noWrap w:val="false"/>
          </w:tcPr>
          <w:p>
            <w:pPr>
              <w:ind w:firstLine="0"/>
              <w:widowControl/>
            </w:pPr>
            <w:r>
              <w:rPr>
                <w:lang w:eastAsia="en-US"/>
              </w:rPr>
              <w:t xml:space="preserve">Вынесено постановлений (решений) о привлечении</w:t>
            </w:r>
            <w:r>
              <w:rPr>
                <w:lang w:eastAsia="en-US"/>
              </w:rPr>
              <w:br/>
              <w:t xml:space="preserve">к административной ответственности, в том числе судом по результатам рассмотрения протоколов об административных правонарушениях, составленных </w:t>
            </w:r>
            <w:r>
              <w:rPr>
                <w:bCs/>
                <w:lang w:eastAsia="en-US"/>
              </w:rPr>
              <w:t xml:space="preserve">за 8 месяцев 2024 года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highlight w:val="yellow"/>
              </w:rPr>
            </w:pPr>
            <w:r>
              <w:rPr>
                <w:lang w:val="en-US" w:eastAsia="en-US"/>
              </w:rPr>
              <w:t xml:space="preserve">0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>
          <w:trHeight w:val="5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</w:pPr>
            <w:r>
              <w:rPr>
                <w:lang w:eastAsia="en-US"/>
              </w:rPr>
              <w:t xml:space="preserve">7.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0" w:type="dxa"/>
            <w:vMerge w:val="restart"/>
            <w:textDirection w:val="lrTb"/>
            <w:noWrap w:val="false"/>
          </w:tcPr>
          <w:p>
            <w:pPr>
              <w:ind w:firstLine="0"/>
              <w:widowControl/>
            </w:pPr>
            <w:r>
              <w:rPr>
                <w:lang w:eastAsia="en-US"/>
              </w:rPr>
              <w:t xml:space="preserve">Количество профилактических мероприятий, проведенных в отношении контролируемых лиц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highlight w:val="yellow"/>
              </w:rPr>
            </w:pPr>
            <w:r>
              <w:rPr>
                <w:lang w:val="en-US" w:eastAsia="en-US"/>
              </w:rPr>
              <w:t xml:space="preserve">350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</w:tbl>
    <w:p>
      <w:pPr>
        <w:ind w:firstLine="539"/>
      </w:pPr>
      <w:r/>
      <w:r/>
    </w:p>
    <w:p>
      <w:r>
        <w:t xml:space="preserve">11. Министерством в цел</w:t>
      </w:r>
      <w:r>
        <w:t xml:space="preserve">ях предупреждения нарушений контролируемыми лицами лицензионных (обязательных) требований, устранения причин, факторов и условий, способствующих нарушениям лицензионных (обязательных) требований, в 2024 году проведены мероприятия по профилактике нарушений,</w:t>
      </w:r>
      <w:r>
        <w:br/>
        <w:t xml:space="preserve">в том числе:</w:t>
      </w:r>
      <w:r/>
    </w:p>
    <w:p>
      <w:r>
        <w:t xml:space="preserve">1) обеспечено размещение Перечня на официальном сайте Министерства</w:t>
      </w:r>
      <w:r>
        <w:br/>
        <w:t xml:space="preserve">в информационно-телекоммуникационной сети Интернет (далее - Сайт);</w:t>
      </w:r>
      <w:r/>
    </w:p>
    <w:p>
      <w:r>
        <w:t xml:space="preserve">2) проведен мониторинг изменений нормативных правовых актов, включенных в Перечень, актуализированный Перечень размещен на Сайте;</w:t>
      </w:r>
      <w:r/>
    </w:p>
    <w:p>
      <w:r>
        <w:t xml:space="preserve">3) обеспечены разработка и размещение на Сайте руководства</w:t>
      </w:r>
      <w:r>
        <w:br/>
        <w:t xml:space="preserve">по соблюдению лицензионных (обязательных) требований;</w:t>
      </w:r>
      <w:r/>
    </w:p>
    <w:p>
      <w:r>
        <w:t xml:space="preserve">4) на постоянной основе осуществлено консультирование контролируемых лиц;</w:t>
      </w:r>
      <w:r/>
    </w:p>
    <w:p>
      <w:pPr>
        <w:rPr>
          <w:lang w:eastAsia="en-US"/>
        </w:rPr>
      </w:pPr>
      <w:r>
        <w:rPr>
          <w:lang w:eastAsia="en-US"/>
        </w:rPr>
        <w:t xml:space="preserve">5)</w:t>
      </w:r>
      <w:r>
        <w:t xml:space="preserve"> </w:t>
      </w:r>
      <w:r>
        <w:rPr>
          <w:lang w:eastAsia="en-US"/>
        </w:rPr>
        <w:t xml:space="preserve">обеспечено размещение на Сайте сведений об объектах регионального государственного контроля (надзора) и присвоенной им категории риска причинения вреда (ущерба);</w:t>
      </w:r>
      <w:r>
        <w:rPr>
          <w:lang w:eastAsia="en-US"/>
        </w:rPr>
      </w:r>
      <w:r>
        <w:rPr>
          <w:lang w:eastAsia="en-US"/>
        </w:rPr>
      </w:r>
    </w:p>
    <w:p>
      <w:pPr>
        <w:widowControl/>
        <w:rPr>
          <w:rFonts w:eastAsia="Calibri"/>
          <w:highlight w:val="yellow"/>
        </w:rPr>
      </w:pPr>
      <w:r>
        <w:t xml:space="preserve">6) </w:t>
      </w:r>
      <w:r>
        <w:rPr>
          <w:rFonts w:eastAsia="Calibri"/>
        </w:rPr>
        <w:t xml:space="preserve">проведены в</w:t>
      </w:r>
      <w:r>
        <w:rPr>
          <w:rFonts w:eastAsia="Calibri"/>
        </w:rPr>
        <w:t xml:space="preserve">ыездные обследования контролируемых лиц и (или) общедоступных (открытых для посещения неограниченным кругом лиц) производственных объектов, на основании плана проведения выездных обследований, сформированного на основании критериев, установленных приказом </w:t>
      </w:r>
      <w:r>
        <w:rPr>
          <w:rFonts w:eastAsia="Calibri"/>
        </w:rPr>
        <w:t xml:space="preserve">Росалкогольтабакконтроля</w:t>
      </w:r>
      <w:r>
        <w:rPr>
          <w:rFonts w:eastAsia="Calibri"/>
        </w:rPr>
        <w:t xml:space="preserve"> от 04.12.2023 № 464</w:t>
      </w:r>
      <w:r>
        <w:t xml:space="preserve">. За 8 месяцев 2024 года проведено </w:t>
      </w:r>
      <w:r>
        <w:rPr>
          <w:rFonts w:eastAsia="Calibri"/>
        </w:rPr>
        <w:t xml:space="preserve">выездных обследований</w:t>
      </w:r>
      <w:r>
        <w:t xml:space="preserve"> - 10;</w:t>
      </w:r>
      <w:r>
        <w:rPr>
          <w:rFonts w:eastAsia="Calibri"/>
          <w:highlight w:val="yellow"/>
        </w:rPr>
      </w:r>
      <w:r>
        <w:rPr>
          <w:rFonts w:eastAsia="Calibri"/>
          <w:highlight w:val="yellow"/>
        </w:rPr>
      </w:r>
    </w:p>
    <w:p>
      <w:r>
        <w:rPr>
          <w:lang w:eastAsia="en-US"/>
        </w:rPr>
        <w:t xml:space="preserve">7)</w:t>
      </w:r>
      <w:r>
        <w:t xml:space="preserve"> </w:t>
      </w:r>
      <w:r>
        <w:rPr>
          <w:highlight w:val="white"/>
        </w:rPr>
        <w:t xml:space="preserve">объявлены предостережения о недопустимости нарушения лицензионных (обязательных) требований с предложением принять меры по обеспечению</w:t>
      </w:r>
      <w:r>
        <w:rPr>
          <w:highlight w:val="white"/>
        </w:rPr>
        <w:br/>
        <w:t xml:space="preserve">их соблюдения. За 8 месяцев 2024 года объявлено предостережений</w:t>
      </w:r>
      <w:r>
        <w:t xml:space="preserve"> - 350;</w:t>
      </w:r>
      <w:r/>
    </w:p>
    <w:p>
      <w:r>
        <w:rPr>
          <w:highlight w:val="white"/>
        </w:rPr>
        <w:t xml:space="preserve">8)</w:t>
      </w:r>
      <w:r>
        <w:t xml:space="preserve"> </w:t>
      </w:r>
      <w:r>
        <w:rPr>
          <w:highlight w:val="white"/>
        </w:rPr>
        <w:t xml:space="preserve">подготовлен и размещен на</w:t>
      </w:r>
      <w:r>
        <w:t xml:space="preserve"> </w:t>
      </w:r>
      <w:hyperlink r:id="rId16" w:tooltip="http://minrpp.nso.ru/" w:history="1">
        <w:r>
          <w:rPr>
            <w:rStyle w:val="886"/>
            <w:color w:val="auto"/>
            <w:highlight w:val="white"/>
            <w:u w:val="none"/>
          </w:rPr>
          <w:t xml:space="preserve">Сайте</w:t>
        </w:r>
      </w:hyperlink>
      <w:r>
        <w:t xml:space="preserve"> </w:t>
      </w:r>
      <w:r>
        <w:rPr>
          <w:highlight w:val="white"/>
        </w:rPr>
        <w:t xml:space="preserve">доклад, содержащий результаты обобщения правоприменительной практики осуществления регионального государственного контроля по итогам работы в 2023 году, в отношении проекта которого проведено публичное обсуждение.</w:t>
      </w:r>
      <w:r/>
    </w:p>
    <w:p>
      <w:r>
        <w:t xml:space="preserve">12. Государственное регулирование в области розничной продажи алкогольной и спиртосодержащей продукции обусловлено необходимостью защиты как жизни и здоровья граждан, так и экономических интересов Новосибирской области, Российской Федерации.</w:t>
      </w:r>
      <w:r/>
    </w:p>
    <w:p>
      <w:r>
        <w:t xml:space="preserve">Ключевыми наиболее значимыми рисками нарушения лицензионных (обязательных) требований являются:</w:t>
      </w:r>
      <w:r/>
    </w:p>
    <w:p>
      <w:r>
        <w:t xml:space="preserve">1) наступление событий, влекущих причинение ущерба жизни и здоровью человека;</w:t>
      </w:r>
      <w:r/>
    </w:p>
    <w:p>
      <w:r>
        <w:t xml:space="preserve">2) снижение и потери поступления доходов в бюджетную систему;</w:t>
      </w:r>
      <w:r/>
    </w:p>
    <w:p>
      <w:r>
        <w:t xml:space="preserve">3) ограничение конкуренции и свободы экономической деятельности.</w:t>
      </w:r>
      <w:r/>
    </w:p>
    <w:p>
      <w:r>
        <w:t xml:space="preserve">13. </w:t>
      </w:r>
      <w:r>
        <w:t xml:space="preserve">Наиболее распространенными видами нарушений (признаками нарушений), допускаемыми контролируемыми лицами (в том числе, о которых сообщается в поступающих в Министерство обращениях (заявлениях) граждан</w:t>
      </w:r>
      <w:r>
        <w:br/>
        <w:t xml:space="preserve">и организаций, информации от органов государственной власти, органов местного самоуправления, из средств массовой информации), являются:</w:t>
      </w:r>
      <w:r/>
    </w:p>
    <w:p>
      <w:r>
        <w:t xml:space="preserve">1) нахождение торгового объекта или объекта общественного питания</w:t>
      </w:r>
      <w:r>
        <w:br/>
        <w:t xml:space="preserve">в границах территорий, на которых не допускается розничная продажа алкогольной и спиртосодержащей продукции;</w:t>
      </w:r>
      <w:r/>
    </w:p>
    <w:p>
      <w:r>
        <w:t xml:space="preserve">2) несоблюдение порядка учета оборота алкогольной и спиртосодержащей продукции в единой государственной автоматизированной информационной системе учета объема производства и оборота этилового спирта, алкогольной</w:t>
      </w:r>
      <w:r>
        <w:br/>
        <w:t xml:space="preserve">и спиртосодержащей продукции;</w:t>
      </w:r>
      <w:r/>
    </w:p>
    <w:p>
      <w:r>
        <w:t xml:space="preserve">3) розничная продажа алкогольной продукции без соответствующей лицензии;</w:t>
      </w:r>
      <w:r/>
    </w:p>
    <w:p>
      <w:r>
        <w:t xml:space="preserve">4) розничная продажа алкогольной продукции без сопроводительных документов, удостоверяющих легальность ее производства и оборота, определенных Федеральным законом № 171-ФЗ;</w:t>
      </w:r>
      <w:r/>
    </w:p>
    <w:p>
      <w:r>
        <w:t xml:space="preserve">5) розничная продажа алкогольной продукции без маркировки</w:t>
      </w:r>
      <w:r>
        <w:br/>
        <w:t xml:space="preserve">в соответствии со статьей 12 Федерального закона № 171-ФЗ;</w:t>
      </w:r>
      <w:r/>
    </w:p>
    <w:p>
      <w:r>
        <w:t xml:space="preserve">6) розничная продажа алкогольной продукции (пива, пивных напитков, сидра, </w:t>
      </w:r>
      <w:r>
        <w:t xml:space="preserve">пуаре</w:t>
      </w:r>
      <w:r>
        <w:t xml:space="preserve"> и медовухи) без регистрации в государственной информационной системе мониторинга оборота товаров;</w:t>
      </w:r>
      <w:r/>
    </w:p>
    <w:p>
      <w:pPr>
        <w:rPr>
          <w:highlight w:val="green"/>
        </w:rPr>
      </w:pPr>
      <w:r>
        <w:t xml:space="preserve">7) розничная продажа алкогольной продукции с нарушением иных лицензионных (обязательных) требований, предусмотренных законодательством.</w:t>
      </w:r>
      <w:r>
        <w:rPr>
          <w:highlight w:val="green"/>
        </w:rPr>
      </w:r>
      <w:r>
        <w:rPr>
          <w:highlight w:val="green"/>
        </w:rPr>
      </w:r>
    </w:p>
    <w:p>
      <w:r>
        <w:t xml:space="preserve">14. Среди причин возникновения нарушений лицензионных (обязательных) требований является низкий уровень правосознания и правовой культуры контролируемых лиц.</w:t>
      </w:r>
      <w:r/>
    </w:p>
    <w:p>
      <w:r>
        <w:t xml:space="preserve">15. Возможные варианты предупреждения риска причинения вреда (ущерба) охраняемым законом ценностям:</w:t>
      </w:r>
      <w:r/>
    </w:p>
    <w:p>
      <w:r>
        <w:t xml:space="preserve">1) проведение мероприятий по профилактике нарушений лицензионных (обязательных) требований, установленных законодательством,</w:t>
      </w:r>
      <w:r>
        <w:br/>
        <w:t xml:space="preserve">при осуществлении розничной продажи алкогольной и спиртосодержащей продукции;</w:t>
      </w:r>
      <w:r/>
    </w:p>
    <w:p>
      <w:r>
        <w:t xml:space="preserve">2) проведение контрольных (надзорных) мероприятий;</w:t>
      </w:r>
      <w:r/>
    </w:p>
    <w:p>
      <w:r>
        <w:t xml:space="preserve">3) инициатива внесения изменений в законодательство Российской Федерации, направленных на ужесточение ответственности за нарушения лицензионных (обязательных) требований.</w:t>
      </w:r>
      <w:r/>
    </w:p>
    <w:p>
      <w:pPr>
        <w:widowControl/>
      </w:pPr>
      <w:r>
        <w:t xml:space="preserve">16.</w:t>
      </w:r>
      <w:r>
        <w:rPr>
          <w:lang w:eastAsia="en-US"/>
        </w:rPr>
        <w:t xml:space="preserve"> </w:t>
      </w:r>
      <w:r>
        <w:rPr>
          <w:highlight w:val="white"/>
        </w:rPr>
        <w:t xml:space="preserve">В случае наличия у Министерства сведений о готовящихся нарушениях лицензионных (обязательных) требований или признаках нарушений </w:t>
      </w:r>
      <w:r>
        <w:rPr>
          <w:highlight w:val="white"/>
        </w:rPr>
        <w:t xml:space="preserve">лицензионных (обязательных) требований и (или) в случае отсутствия подтвержденных данных о том, что нарушение лицензионных (обязательных) требований причинило вред (ущерб)</w:t>
      </w:r>
      <w:r>
        <w:rPr>
          <w:highlight w:val="white"/>
        </w:rPr>
        <w:t xml:space="preserve"> охраняемым законом ценностям либо создало угрозу причинения вреда (ущерба) охраняемым законом ценностям, Министерство объявляет контролируемому лицу предостережение</w:t>
        <w:br/>
        <w:t xml:space="preserve">о недопустимости нарушения лицензионных (обязательных) требований</w:t>
        <w:br/>
        <w:t xml:space="preserve">(далее - предостережение</w:t>
      </w:r>
      <w:r>
        <w:rPr>
          <w:highlight w:val="white"/>
        </w:rPr>
        <w:t xml:space="preserve">) и предлагает принять меры по обеспечению соблюдения лицензионных (обязательных) требований.</w:t>
      </w:r>
      <w:r/>
    </w:p>
    <w:p>
      <w:pPr>
        <w:ind w:firstLine="0"/>
        <w:jc w:val="center"/>
        <w:widowControl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ind w:firstLine="0"/>
        <w:jc w:val="center"/>
        <w:rPr>
          <w:b/>
          <w:lang w:eastAsia="en-US"/>
        </w:rPr>
      </w:pPr>
      <w:r>
        <w:rPr>
          <w:b/>
          <w:lang w:val="en-US" w:eastAsia="en-US"/>
        </w:rPr>
        <w:t xml:space="preserve">II</w:t>
      </w:r>
      <w:r>
        <w:rPr>
          <w:b/>
          <w:lang w:eastAsia="en-US"/>
        </w:rPr>
        <w:t xml:space="preserve">. Цели и задачи реализации Программы</w:t>
      </w:r>
      <w:r>
        <w:rPr>
          <w:b/>
          <w:lang w:eastAsia="en-US"/>
        </w:rPr>
      </w:r>
      <w:r>
        <w:rPr>
          <w:b/>
          <w:lang w:eastAsia="en-US"/>
        </w:rPr>
      </w:r>
    </w:p>
    <w:p>
      <w:pPr>
        <w:ind w:firstLine="0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r>
        <w:t xml:space="preserve">17. Основными целями Программы являются:</w:t>
      </w:r>
      <w:r/>
    </w:p>
    <w:p>
      <w:r>
        <w:t xml:space="preserve">1) стимулирование добросовестного соблюдения лицензионных (обязательных) требований всеми контролируемыми лицами;</w:t>
      </w:r>
      <w:r/>
    </w:p>
    <w:p>
      <w:r>
        <w:t xml:space="preserve">2) устранение условий, причин и факторов, способных привести</w:t>
      </w:r>
      <w:r>
        <w:br/>
        <w:t xml:space="preserve">к нарушениям лицензионных (обязательных) требований и (или) причинению вреда (ущерба) охраняемым законом ценностям;</w:t>
      </w:r>
      <w:r/>
    </w:p>
    <w:p>
      <w:r>
        <w:t xml:space="preserve">3) создание условий для доведения лицензионных (обязательных) требований до контролируемых лиц, повышение информированности о способах их соблюдения;</w:t>
      </w:r>
      <w:r/>
    </w:p>
    <w:p>
      <w:r>
        <w:t xml:space="preserve">4) снижение административной нагрузки на контролируемых лиц;</w:t>
      </w:r>
      <w:r/>
    </w:p>
    <w:p>
      <w:r>
        <w:t xml:space="preserve">5) снижение числа нарушений лицензионных (обязательных) требований;</w:t>
      </w:r>
      <w:r/>
    </w:p>
    <w:p>
      <w:r>
        <w:t xml:space="preserve">6) повышение эффективности осуществления контрольной (надзорной) деятельности.</w:t>
      </w:r>
      <w:r/>
    </w:p>
    <w:p>
      <w:r>
        <w:t xml:space="preserve">18. Задачами настоящей Программы являются:</w:t>
      </w:r>
      <w:r/>
    </w:p>
    <w:p>
      <w:r>
        <w:t xml:space="preserve">1) укрепление системы профилактики нарушений лицензионных (обязательных) требований;</w:t>
      </w:r>
      <w:r/>
    </w:p>
    <w:p>
      <w:r>
        <w:t xml:space="preserve">2) выявление причин, факторов и условий:</w:t>
      </w:r>
      <w:r/>
    </w:p>
    <w:p>
      <w:r>
        <w:t xml:space="preserve">- способствующих причинению вреда (ущерба) охраняемым законом ценностям и нарушению лицензионных (обязательных) требований, определение способов устранения или снижения рисков их возникновения;</w:t>
      </w:r>
      <w:r/>
    </w:p>
    <w:p>
      <w:r>
        <w:t xml:space="preserve">- способствующих нарушениям лицензионных (обязательных) требований путем активизации профилактической деятельности;</w:t>
      </w:r>
      <w:r/>
    </w:p>
    <w:p>
      <w:r>
        <w:t xml:space="preserve">3) повышение правосознания и правовой культуры контролируемых лиц;</w:t>
      </w:r>
      <w:r/>
    </w:p>
    <w:p>
      <w:r>
        <w:t xml:space="preserve">4) предупреждение нарушений лицензионных (обязательных) требований;</w:t>
      </w:r>
      <w:r/>
    </w:p>
    <w:p>
      <w:r>
        <w:t xml:space="preserve">5) предотвращение угрозы причинения либо причинения вреда жизни, здоровью граждан вследствие нарушений лицензионных (обязательных) требований;</w:t>
      </w:r>
      <w:r/>
    </w:p>
    <w:p>
      <w:r>
        <w:t xml:space="preserve">6) обеспечение доступности информации о лицензионных (обязательных) требованиях.</w:t>
      </w:r>
      <w:r/>
    </w:p>
    <w:p>
      <w:r>
        <w:t xml:space="preserve">19. Профилактические мероприятия, являющиеся приоритетными</w:t>
      </w:r>
      <w:r>
        <w:br/>
        <w:t xml:space="preserve">по отношению к проведению контрольных (надзорных) мероприятий, Министерством планируются и осуществляются на основе соблюдения следующих базовых принципов:</w:t>
      </w:r>
      <w:r/>
    </w:p>
    <w:p>
      <w:r>
        <w:t xml:space="preserve">1) принцип понятности - представление информации о лицензионных </w:t>
      </w:r>
      <w:r>
        <w:t xml:space="preserve">(обязательных) требованиях в простой, понятной, исчерпывающей форме;</w:t>
      </w:r>
      <w:r/>
    </w:p>
    <w:p>
      <w:r>
        <w:t xml:space="preserve">2) принцип информационной открытости - доступность</w:t>
        <w:br/>
        <w:t xml:space="preserve">для контролируемых лиц сведений об организации и осуществлении профилактических мероприятий;</w:t>
      </w:r>
      <w:r/>
    </w:p>
    <w:p>
      <w:r>
        <w:t xml:space="preserve">3) принцип полноты охвата - вовлечение в проведение профилактических мероприятий максимального числа контролируемых лиц;</w:t>
      </w:r>
      <w:r/>
    </w:p>
    <w:p>
      <w:r>
        <w:t xml:space="preserve">4) принцип периодичности - обеспечение регулярности проведения профилактических мероприятий.</w:t>
      </w:r>
      <w:r/>
    </w:p>
    <w:p>
      <w:r>
        <w:t xml:space="preserve">20. Цели и задачи настоящей Программы могут быть достигнуты только</w:t>
      </w:r>
      <w:r>
        <w:br/>
        <w:t xml:space="preserve">при условии создания действенных механизмов ее реализации.</w:t>
      </w:r>
      <w:r/>
    </w:p>
    <w:p>
      <w:r>
        <w:t xml:space="preserve">Программа ежегодно утверждается приказом Министерства.</w:t>
      </w:r>
      <w:r/>
    </w:p>
    <w:p>
      <w:r>
        <w:t xml:space="preserve">Организацию и координирование деятельности по реализации Программы осуществляет начальник управления лицензирования Министерства</w:t>
      </w:r>
      <w:r>
        <w:br/>
        <w:t xml:space="preserve">(далее – управление лицензирования).</w:t>
      </w:r>
      <w:r/>
    </w:p>
    <w:p>
      <w:r>
        <w:t xml:space="preserve">Полномочия по реализации про</w:t>
      </w:r>
      <w:r>
        <w:t xml:space="preserve">филактических мероприятий, проведению мониторинга реализации Программы, подготовке предложений по уточнению Перечня профилактических мероприятий, сбору и систематизации статистической информации о реализации профилактических мероприятий, подготовке доклада</w:t>
      </w:r>
      <w:r>
        <w:br/>
        <w:t xml:space="preserve">об итогах реализации Программы по итогам года с целью оценки эффективности и результативности проведенных профилактических мероприятий возложены</w:t>
      </w:r>
      <w:r>
        <w:br/>
        <w:t xml:space="preserve">на отдел регионального государственного контроля управления лицензирования</w:t>
      </w:r>
      <w:r>
        <w:br/>
        <w:t xml:space="preserve">и отдел лицензирования управления лицензирования.</w:t>
      </w:r>
      <w:r/>
    </w:p>
    <w:p>
      <w:r>
        <w:t xml:space="preserve">Полномочия по объявлению предостережений возложены на Министерство.</w:t>
      </w:r>
      <w:r/>
    </w:p>
    <w:p>
      <w:r>
        <w:t xml:space="preserve">Доклад об итогах реализации Программы подлежит подготовке</w:t>
      </w:r>
      <w:r>
        <w:br/>
        <w:t xml:space="preserve">и опубликованию на Сайте в сроки, установленные Перечнем профилактических мероприятий.</w:t>
      </w:r>
      <w:r/>
    </w:p>
    <w:p>
      <w:pPr>
        <w:widowControl/>
        <w:rPr>
          <w:lang w:eastAsia="en-US"/>
        </w:rPr>
      </w:pPr>
      <w:r>
        <w:rPr>
          <w:lang w:eastAsia="en-US"/>
        </w:rPr>
        <w:t xml:space="preserve">21. Реализация Программы в течение всего срока осуществляется Министерством за счет средств областного бюджета Новосибирской области, выделяемых на обеспечение его деятельности.</w:t>
      </w:r>
      <w:r>
        <w:rPr>
          <w:lang w:eastAsia="en-US"/>
        </w:rPr>
      </w:r>
      <w:r>
        <w:rPr>
          <w:lang w:eastAsia="en-US"/>
        </w:rPr>
      </w:r>
    </w:p>
    <w:p>
      <w:pPr>
        <w:widowControl/>
        <w:rPr>
          <w:lang w:eastAsia="en-US"/>
        </w:rPr>
      </w:pPr>
      <w:r>
        <w:rPr>
          <w:lang w:eastAsia="en-US"/>
        </w:rPr>
        <w:t xml:space="preserve">Привлечение иных кадровых, материальных и финансовых ресурсов</w:t>
      </w:r>
      <w:r>
        <w:rPr>
          <w:lang w:eastAsia="en-US"/>
        </w:rPr>
        <w:br/>
        <w:t xml:space="preserve">для реализации Программы не требуется.</w:t>
      </w:r>
      <w:r>
        <w:rPr>
          <w:lang w:eastAsia="en-US"/>
        </w:rPr>
      </w:r>
      <w:r>
        <w:rPr>
          <w:lang w:eastAsia="en-US"/>
        </w:rPr>
      </w:r>
    </w:p>
    <w:p>
      <w:pPr>
        <w:ind w:firstLine="0"/>
        <w:jc w:val="center"/>
        <w:widowControl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ind w:firstLine="0"/>
        <w:jc w:val="center"/>
        <w:rPr>
          <w:b/>
        </w:rPr>
        <w:outlineLvl w:val="1"/>
      </w:pPr>
      <w:r>
        <w:rPr>
          <w:b/>
          <w:lang w:val="en-US"/>
        </w:rPr>
        <w:t xml:space="preserve">III</w:t>
      </w:r>
      <w:r>
        <w:rPr>
          <w:b/>
        </w:rPr>
        <w:t xml:space="preserve">. Перечень профилактических мероприятий</w:t>
      </w:r>
      <w:r>
        <w:rPr>
          <w:b/>
        </w:rPr>
      </w:r>
      <w:r>
        <w:rPr>
          <w:b/>
        </w:rPr>
      </w:r>
    </w:p>
    <w:p>
      <w:pPr>
        <w:ind w:firstLine="0"/>
        <w:jc w:val="center"/>
        <w:outlineLvl w:val="1"/>
      </w:pPr>
      <w:r/>
      <w:r/>
    </w:p>
    <w:tbl>
      <w:tblPr>
        <w:tblW w:w="9859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04"/>
        <w:gridCol w:w="2551"/>
        <w:gridCol w:w="1417"/>
        <w:gridCol w:w="1843"/>
        <w:gridCol w:w="1698"/>
        <w:gridCol w:w="1846"/>
      </w:tblGrid>
      <w:tr>
        <w:tblPrEx/>
        <w:trPr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/п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мероприятия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(периодичность) проведения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Адресаты мероприятия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8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исполнитель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Ожидаемые результаты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34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4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ind w:firstLine="0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Размещение на Сайте  Перечня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постоянно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контролируемые лица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8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юридический отдел управления лицензирования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своевременное информирование контролируемых лиц</w:t>
            </w:r>
            <w:r>
              <w:rPr>
                <w:sz w:val="22"/>
                <w:szCs w:val="22"/>
              </w:rPr>
              <w:br/>
              <w:t xml:space="preserve">о лицензионных (обязательных) требованиях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49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4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ind w:firstLine="0"/>
              <w:widowControl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Проведение мониторинга нормативных правовых актов, включенных</w:t>
            </w:r>
            <w:r>
              <w:rPr>
                <w:sz w:val="22"/>
                <w:szCs w:val="22"/>
                <w:lang w:eastAsia="en-US"/>
              </w:rPr>
              <w:br/>
              <w:t xml:space="preserve">в Перечень 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ежемесячно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контролируемые лица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8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юридический отдел управления лицензирования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своевременное информирование контролируемых лиц</w:t>
            </w:r>
            <w:r>
              <w:rPr>
                <w:sz w:val="22"/>
                <w:szCs w:val="22"/>
              </w:rPr>
              <w:br/>
              <w:t xml:space="preserve">о лицензионных (обязательных) требованиях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81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4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ind w:firstLine="0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проекта нормативного правового акта Министерства</w:t>
            </w:r>
            <w:r>
              <w:rPr>
                <w:sz w:val="22"/>
                <w:szCs w:val="22"/>
              </w:rPr>
              <w:br/>
              <w:t xml:space="preserve">о внесении изменений</w:t>
            </w:r>
            <w:r>
              <w:rPr>
                <w:sz w:val="22"/>
                <w:szCs w:val="22"/>
              </w:rPr>
              <w:br/>
              <w:t xml:space="preserve">в Перечень, в том числе</w:t>
            </w:r>
            <w:r>
              <w:rPr>
                <w:sz w:val="22"/>
                <w:szCs w:val="22"/>
              </w:rPr>
              <w:br/>
              <w:t xml:space="preserve">в связи с внесением изменений, отменой, принятием или выявлением новых нормативных правовых актов, устанавливающих лицензионные (обязательные) требования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мере необходимости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контролируемые лица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8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юридический отдел управления лицензирования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своевременное информирование контролируемых лиц</w:t>
            </w:r>
            <w:r>
              <w:rPr>
                <w:sz w:val="22"/>
                <w:szCs w:val="22"/>
              </w:rPr>
              <w:br/>
              <w:t xml:space="preserve">о лицензионных (обязательных) требованиях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60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4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ind w:firstLine="0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Поддержание в актуальном состоянии Перечня, размещенного на Сайте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мере необходимости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контролируемые лица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8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юридический отдел управления лицензирования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своевременное информирование контролируемых лиц</w:t>
            </w:r>
            <w:r>
              <w:rPr>
                <w:sz w:val="22"/>
                <w:szCs w:val="22"/>
              </w:rPr>
              <w:br/>
              <w:t xml:space="preserve">о лицензионных (обязательных) требованиях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4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ind w:firstLine="0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Рассмотрение обращений, поступивших</w:t>
            </w:r>
            <w:r>
              <w:rPr>
                <w:sz w:val="22"/>
                <w:szCs w:val="22"/>
              </w:rPr>
              <w:br/>
              <w:t xml:space="preserve">в Министерство, связанных с содержанием, ведением</w:t>
            </w:r>
            <w:r>
              <w:rPr>
                <w:sz w:val="22"/>
                <w:szCs w:val="22"/>
              </w:rPr>
              <w:br/>
              <w:t xml:space="preserve">и применением Перечня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мере поступления обращений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контролируемые лица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8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лицензирования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своевременное информирование контролируемых лиц</w:t>
            </w:r>
            <w:r>
              <w:rPr>
                <w:sz w:val="22"/>
                <w:szCs w:val="22"/>
              </w:rPr>
              <w:br/>
              <w:t xml:space="preserve">о лицензионных (обязательных) требованиях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673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04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Информирование контролируемых лиц</w:t>
            </w:r>
            <w:r>
              <w:rPr>
                <w:sz w:val="22"/>
                <w:szCs w:val="22"/>
              </w:rPr>
              <w:br/>
              <w:t xml:space="preserve">по вопросам соблюдения лицензионных (обязательных) требований, в том числе посредством: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firstLine="0"/>
              <w:jc w:val="left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firstLine="0"/>
              <w:jc w:val="left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8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лицензирования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4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 xml:space="preserve">обеспечение информированности контролируемых лиц</w:t>
            </w:r>
            <w:r>
              <w:rPr>
                <w:sz w:val="22"/>
                <w:szCs w:val="22"/>
                <w:highlight w:val="white"/>
              </w:rPr>
              <w:br/>
              <w:t xml:space="preserve">о лицензионных (обязательных) требованиях,</w:t>
            </w:r>
            <w:r>
              <w:rPr>
                <w:sz w:val="22"/>
                <w:szCs w:val="22"/>
                <w:highlight w:val="white"/>
              </w:rPr>
              <w:br/>
              <w:t xml:space="preserve">а также о порядке проведения контрольных (надзорных) </w:t>
            </w:r>
            <w:r>
              <w:rPr>
                <w:sz w:val="22"/>
                <w:szCs w:val="22"/>
                <w:highlight w:val="white"/>
              </w:rPr>
              <w:t xml:space="preserve">мероприятий</w:t>
            </w:r>
            <w:r>
              <w:rPr>
                <w:sz w:val="22"/>
                <w:szCs w:val="22"/>
                <w:highlight w:val="white"/>
              </w:rPr>
              <w:br/>
              <w:t xml:space="preserve">по оценке соблюдения контролируемыми лицами лицензионных (обязательных) требований, правах контролируемых лиц при проведении контрольных (надзорных) мероприятий. Понятность и однозначное толкование контролируемых лиц</w:t>
            </w:r>
            <w:r>
              <w:rPr>
                <w:sz w:val="22"/>
                <w:szCs w:val="22"/>
                <w:highlight w:val="white"/>
              </w:rPr>
              <w:br/>
              <w:t xml:space="preserve">о лицензионных (обязательных) требованиях,</w:t>
            </w:r>
            <w:r>
              <w:rPr>
                <w:sz w:val="22"/>
                <w:szCs w:val="22"/>
                <w:highlight w:val="white"/>
              </w:rPr>
              <w:br/>
              <w:t xml:space="preserve">а также о порядке проведения контрольных (надзорных) мероприятий по </w:t>
            </w:r>
            <w:r>
              <w:rPr>
                <w:sz w:val="22"/>
                <w:szCs w:val="22"/>
                <w:highlight w:val="white"/>
              </w:rPr>
              <w:t xml:space="preserve">оценке соблюдения контролируемыми лицами лицензионных (обязательных) требований, правах контролируемых лиц при проведении контрольных (надзорных) мероприятий. Понятность и однозначное толкование контролируемыми лицами лицензионных (обязательных) требований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641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504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ind w:firstLine="0"/>
              <w:widowControl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- разработки и опубликования руководств по соблюдению лицензионных </w:t>
            </w:r>
            <w:r>
              <w:rPr>
                <w:sz w:val="22"/>
                <w:szCs w:val="22"/>
              </w:rPr>
              <w:t xml:space="preserve">(обязательных) требований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hanging="61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постоянно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контролируемые лица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8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юридический отдел управления лицензирования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504" w:type="dxa"/>
            <w:vMerge w:val="continue"/>
            <w:textDirection w:val="lrTb"/>
            <w:noWrap w:val="false"/>
          </w:tcPr>
          <w:p>
            <w:pPr>
              <w:ind w:firstLine="0"/>
              <w:widowControl/>
              <w:rPr>
                <w:sz w:val="24"/>
                <w:szCs w:val="24"/>
              </w:rPr>
              <w:outlineLvl w:val="0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ind w:firstLine="0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 внесения изменений в размещенные на Сайте руководства по соблюдению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firstLine="0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лицензионных (обязательных) требований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мере необходимости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контролируемые лица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8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юридический отдел управления лицензирования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53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504" w:type="dxa"/>
            <w:vMerge w:val="continue"/>
            <w:textDirection w:val="lrTb"/>
            <w:noWrap w:val="false"/>
          </w:tcPr>
          <w:p>
            <w:pPr>
              <w:ind w:firstLine="0"/>
              <w:widowControl/>
              <w:rPr>
                <w:sz w:val="24"/>
                <w:szCs w:val="24"/>
              </w:rPr>
              <w:outlineLvl w:val="0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ind w:firstLine="0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 размещение на Сайте перечня индикаторов риска нарушения лицензионных (обязательных) требований, порядок отнесения объектов контроля к категориям риска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мере необходимости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контролируемые лица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8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управление лицензирования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504" w:type="dxa"/>
            <w:vMerge w:val="continue"/>
            <w:textDirection w:val="lrTb"/>
            <w:noWrap w:val="false"/>
          </w:tcPr>
          <w:p>
            <w:pPr>
              <w:ind w:firstLine="0"/>
              <w:widowControl/>
              <w:rPr>
                <w:sz w:val="24"/>
                <w:szCs w:val="24"/>
              </w:rPr>
              <w:outlineLvl w:val="0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-</w:t>
            </w: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  <w:lang w:eastAsia="en-US"/>
              </w:rPr>
              <w:t xml:space="preserve">размещение на Сайте сведений об объектах контроля и присвоенной им категории рисков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мере необходимости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контролируемые лица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8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управление лицензирования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325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504" w:type="dxa"/>
            <w:vMerge w:val="continue"/>
            <w:textDirection w:val="lrTb"/>
            <w:noWrap w:val="false"/>
          </w:tcPr>
          <w:p>
            <w:pPr>
              <w:ind w:firstLine="0"/>
              <w:widowControl/>
              <w:rPr>
                <w:sz w:val="24"/>
                <w:szCs w:val="24"/>
              </w:rPr>
              <w:outlineLvl w:val="0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ind w:firstLine="0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 размещение на Сайте исчерпывающего перечня сведений, которые могут запрашиваться контрольным (надзорным) органом у контролируемого лица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мере необходимости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контролируемые лица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8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управление лицензирования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449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504" w:type="dxa"/>
            <w:vMerge w:val="continue"/>
            <w:textDirection w:val="lrTb"/>
            <w:noWrap w:val="false"/>
          </w:tcPr>
          <w:p>
            <w:pPr>
              <w:ind w:firstLine="0"/>
              <w:widowControl/>
              <w:rPr>
                <w:sz w:val="24"/>
                <w:szCs w:val="24"/>
              </w:rPr>
              <w:outlineLvl w:val="0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ind w:firstLine="0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 размещение на Сайте сведений о порядке досудебного обжалования решений контрольного (надзорного) органа, действий (бездействия) его должностных лиц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мере необходимости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контролируемые лица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8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управление лицензирования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75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504" w:type="dxa"/>
            <w:vMerge w:val="continue"/>
            <w:textDirection w:val="lrTb"/>
            <w:noWrap w:val="false"/>
          </w:tcPr>
          <w:p>
            <w:pPr>
              <w:ind w:firstLine="0"/>
              <w:widowControl/>
              <w:rPr>
                <w:sz w:val="24"/>
                <w:szCs w:val="24"/>
              </w:rPr>
              <w:outlineLvl w:val="0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ind w:firstLine="0"/>
              <w:shd w:val="clear" w:color="ffffff" w:fill="ffffff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  <w:t xml:space="preserve">- консультирование по телефону, посредством </w:t>
            </w:r>
            <w:r>
              <w:rPr>
                <w:sz w:val="22"/>
                <w:szCs w:val="22"/>
              </w:rPr>
              <w:t xml:space="preserve">видеоконференц</w:t>
            </w:r>
            <w:r>
              <w:rPr>
                <w:sz w:val="22"/>
                <w:szCs w:val="22"/>
              </w:rPr>
              <w:t xml:space="preserve">-связи, на личном приеме либо в ходе проведения профилактического мероприятия, контрольного </w:t>
            </w:r>
            <w:r>
              <w:rPr>
                <w:sz w:val="22"/>
                <w:szCs w:val="22"/>
              </w:rPr>
              <w:t xml:space="preserve">(надзорного) мероприятия. Консультирование по вопросам, связанным с организацией и осуществлением регионального государственного контроля (надзора) в области розничной продажи алкогольной и спиртосодержащей продукции на территории Новосибирской области: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firstLine="0"/>
              <w:shd w:val="clear" w:color="ffffff" w:fill="ffffff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  <w:t xml:space="preserve">- о порядке проведения контрольных (надзорных) мероприятий;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firstLine="0"/>
              <w:shd w:val="clear" w:color="ffffff" w:fill="ffffff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  <w:t xml:space="preserve">- о периодичности проведения контрольных (надзорных) мероприятий;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firstLine="0"/>
              <w:shd w:val="clear" w:color="ffffff" w:fill="ffffff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  <w:t xml:space="preserve">- о порядке принятия решений по итогам контрольных (надзорных) мероприятий;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firstLine="0"/>
              <w:shd w:val="clear" w:color="ffffff" w:fill="ffffff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  <w:t xml:space="preserve">- о порядке обжалования решений контрольного (надзорного) органа в сфере осуществления регионального государственного контроля (надзора) в области розничной продажи алкогольной и спиртосодержащей продукции на территории Новосибирской области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постоянно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контролируемые лица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8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регионального государственного контроля управления лицензирования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6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4" w:type="dxa"/>
            <w:vMerge w:val="continue"/>
            <w:textDirection w:val="lrTb"/>
            <w:noWrap w:val="false"/>
          </w:tcPr>
          <w:p>
            <w:pPr>
              <w:ind w:firstLine="0"/>
              <w:widowControl/>
              <w:rPr>
                <w:sz w:val="24"/>
                <w:szCs w:val="24"/>
              </w:rPr>
              <w:outlineLvl w:val="0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ind w:firstLine="0"/>
              <w:widowControl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  <w:highlight w:val="white"/>
              </w:rPr>
              <w:t xml:space="preserve">размещение соответствующих сведений по вопросам соблюдения лицензионных (обязательных) требований в средствах массовой информации, через личные кабинеты </w:t>
            </w:r>
            <w:r>
              <w:rPr>
                <w:sz w:val="22"/>
                <w:szCs w:val="22"/>
                <w:highlight w:val="white"/>
              </w:rPr>
              <w:t xml:space="preserve">контролируемых лиц в государственных информационных системах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мере необходимости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ind w:hanging="61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контролируемые лица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8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лицензирования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677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4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4"/>
                <w:szCs w:val="24"/>
              </w:rPr>
              <w:outlineLvl w:val="0"/>
            </w:pPr>
            <w:r>
              <w:rPr>
                <w:sz w:val="24"/>
                <w:szCs w:val="24"/>
              </w:rPr>
              <w:t xml:space="preserve">7.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ind w:firstLine="0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профилактическог</w:t>
            </w:r>
            <w:r>
              <w:rPr>
                <w:sz w:val="22"/>
                <w:szCs w:val="22"/>
              </w:rPr>
              <w:t xml:space="preserve">о визита в форме профилактической беседы по вопросам соблюдения лицензионных  (обязательных) требований и особенностей осуществления регионального государственного контроля, по месту осуществления деятельности контролируемого лица либо путем использования </w:t>
            </w:r>
            <w:r>
              <w:rPr>
                <w:sz w:val="22"/>
                <w:szCs w:val="22"/>
              </w:rPr>
              <w:t xml:space="preserve">видеоконференц</w:t>
            </w:r>
            <w:r>
              <w:rPr>
                <w:sz w:val="22"/>
                <w:szCs w:val="22"/>
              </w:rPr>
              <w:t xml:space="preserve">-связи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мере необходимости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ind w:hanging="61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контролируемые лица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  <w:p>
            <w:pPr>
              <w:ind w:hanging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8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регионального государственного контроля управления лицензирования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недопущение нарушений лицензионных (обязательных) требований контролируемыми лицами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5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vMerge w:val="continue"/>
            <w:textDirection w:val="lrTb"/>
            <w:noWrap w:val="false"/>
          </w:tcPr>
          <w:p>
            <w:pPr>
              <w:ind w:firstLine="0"/>
              <w:widowControl/>
              <w:rPr>
                <w:sz w:val="24"/>
                <w:szCs w:val="24"/>
              </w:rPr>
              <w:outlineLvl w:val="0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ind w:firstLine="0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  <w:highlight w:val="white"/>
              </w:rPr>
              <w:t xml:space="preserve">проведение профилактического визита по инициативе контролируемого лица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 xml:space="preserve">при поступлении заявления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hanging="61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white"/>
              </w:rPr>
              <w:t xml:space="preserve">контролируемые лица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регионального государственного контроля управления лицензирования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 xml:space="preserve">недопущение нарушений лицензионных (обязательных) требований контролируемыми лицами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8.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ind w:firstLine="0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 xml:space="preserve">Проведение обязательного профилактического визита в форме профилактической беседы по вопросам соблюдения лицензионных (обязательных) требований и особенностей осуществления </w:t>
            </w:r>
            <w:r>
              <w:rPr>
                <w:sz w:val="22"/>
                <w:szCs w:val="22"/>
                <w:highlight w:val="white"/>
              </w:rPr>
              <w:t xml:space="preserve">регионального государственного контроля, по месту осуществления деятельности контролируемого лица либо путем использования </w:t>
            </w:r>
            <w:r>
              <w:rPr>
                <w:sz w:val="22"/>
                <w:szCs w:val="22"/>
                <w:highlight w:val="white"/>
              </w:rPr>
              <w:t xml:space="preserve">видеоконференц</w:t>
            </w:r>
            <w:r>
              <w:rPr>
                <w:sz w:val="22"/>
                <w:szCs w:val="22"/>
                <w:highlight w:val="white"/>
              </w:rPr>
              <w:t xml:space="preserve">-связи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 xml:space="preserve">после принятия решения об отнесении объекта контроля к категории значительного риска и (или) в течение года с момента </w:t>
            </w:r>
            <w:r>
              <w:rPr>
                <w:sz w:val="22"/>
                <w:szCs w:val="22"/>
                <w:highlight w:val="white"/>
              </w:rPr>
              <w:t xml:space="preserve">получения контролируемым лицом лицензии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hanging="61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white"/>
              </w:rPr>
              <w:t xml:space="preserve">контролируемые лица и (или) объекты контроля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 xml:space="preserve">отдел регионального государственного контроля управления лицензирования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 xml:space="preserve">недопущение нарушений лицензионных (обязательных) требований контролируемыми лицами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39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4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и распространение на Сайте комментариев о содержании новых нормативных правовых актов, устанавливающих лицензионные (обязательные) требования, и внесенных изменениях в дей</w:t>
            </w:r>
            <w:r>
              <w:rPr>
                <w:sz w:val="22"/>
                <w:szCs w:val="22"/>
              </w:rPr>
              <w:t xml:space="preserve">ствующие нормативные правовые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лицензионных (обязательных) требований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Style w:val="8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мере внесения изменений в правовые акты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ind w:hanging="61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white"/>
              </w:rPr>
              <w:t xml:space="preserve">контролируемые лица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8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лицензирования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информированности контролируемых лиц о лицензионных (обязательных) требованиях.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Понятность и однозначное толкование контролируемыми лицами лицензионных (обязательных) требований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1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0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ind w:firstLine="0"/>
              <w:shd w:val="clear" w:color="ffffff" w:fill="ffffff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  <w:t xml:space="preserve">Обобщение правоприменительной практики осуществления регионального государственного контроля, включающее: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firstLine="0"/>
              <w:shd w:val="clear" w:color="ffffff" w:fill="ffffff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  <w:t xml:space="preserve">- подготовку, публичное обсуждение проекта доклада о правоприменительной практике (в форме </w:t>
            </w:r>
            <w:r>
              <w:rPr>
                <w:sz w:val="22"/>
                <w:szCs w:val="22"/>
              </w:rPr>
              <w:t xml:space="preserve">видеоконференц</w:t>
            </w:r>
            <w:r>
              <w:rPr>
                <w:sz w:val="22"/>
                <w:szCs w:val="22"/>
              </w:rPr>
              <w:t xml:space="preserve">-связи);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firstLine="0"/>
              <w:shd w:val="clear" w:color="ffffff" w:fill="ffffff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  <w:t xml:space="preserve">- подготовку, утверждение и </w:t>
            </w:r>
            <w:r>
              <w:rPr>
                <w:sz w:val="22"/>
                <w:szCs w:val="22"/>
              </w:rPr>
              <w:t xml:space="preserve">размещение на </w:t>
            </w:r>
            <w:hyperlink r:id="rId17" w:tooltip="http://minrpp.nso.ru/" w:history="1">
              <w:r>
                <w:rPr>
                  <w:rStyle w:val="886"/>
                  <w:color w:val="auto"/>
                  <w:sz w:val="22"/>
                  <w:szCs w:val="22"/>
                  <w:u w:val="none"/>
                </w:rPr>
                <w:t xml:space="preserve">Сайте </w:t>
              </w:r>
            </w:hyperlink>
            <w:r>
              <w:rPr>
                <w:sz w:val="22"/>
                <w:szCs w:val="22"/>
              </w:rPr>
              <w:t xml:space="preserve">доклада, содержащего результаты обобщения правоприменительной практики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pStyle w:val="883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highlight w:val="white"/>
              </w:rPr>
              <w:t xml:space="preserve">до 1 марта 2025 года по итогам работы за 2024 год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3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hanging="61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white"/>
              </w:rPr>
              <w:t xml:space="preserve">контролируемые лица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  <w:p>
            <w:pPr>
              <w:ind w:hanging="61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 xml:space="preserve">отдел регионального государственного контроля управления лицензирования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hd w:val="clear" w:color="ffffff" w:fill="ffffff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  <w:t xml:space="preserve">понятность и однозначное толкование контролируемыми лицами лицензионных (обязательных) требований.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firstLine="0"/>
              <w:jc w:val="center"/>
              <w:shd w:val="clear" w:color="ffffff" w:fill="ffffff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  <w:t xml:space="preserve">Удовлетворенность доступностью на </w:t>
            </w:r>
            <w:hyperlink r:id="rId18" w:tooltip="http://minrpp.nso.ru/" w:history="1">
              <w:r>
                <w:rPr>
                  <w:rStyle w:val="886"/>
                  <w:color w:val="auto"/>
                  <w:sz w:val="22"/>
                  <w:szCs w:val="22"/>
                  <w:u w:val="none"/>
                </w:rPr>
                <w:t xml:space="preserve">Сайте</w:t>
              </w:r>
            </w:hyperlink>
            <w:r>
              <w:rPr>
                <w:sz w:val="22"/>
                <w:szCs w:val="22"/>
              </w:rPr>
              <w:t xml:space="preserve"> доклада о правоприменительной практике </w:t>
            </w:r>
            <w:r>
              <w:rPr>
                <w:sz w:val="22"/>
                <w:szCs w:val="22"/>
              </w:rPr>
              <w:t xml:space="preserve">для контролируемых лиц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ind w:firstLine="0"/>
              <w:shd w:val="clear" w:color="ffffff" w:fill="ffffff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  <w:highlight w:val="white"/>
              </w:rPr>
              <w:t xml:space="preserve">Объявление предостережений в случаях, предусмотренных законодательством, и предложение принять меры по обеспечению соблюдения лицензионных (обязательных) требований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pStyle w:val="883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highlight w:val="white"/>
              </w:rPr>
              <w:t xml:space="preserve">по мере необходимости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hanging="61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white"/>
              </w:rPr>
              <w:t xml:space="preserve">контролируемые лица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 xml:space="preserve">отдел регионального государственного контроля управления лицензирования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hd w:val="clear" w:color="ffffff" w:fill="ffffff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  <w:highlight w:val="white"/>
              </w:rPr>
              <w:t xml:space="preserve">предотвращение нарушений лицензионных (обязательных) требований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8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ind w:firstLine="0"/>
              <w:shd w:val="clear" w:color="ffffff" w:fill="ffffff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  <w:highlight w:val="white"/>
              </w:rPr>
              <w:t xml:space="preserve">Подготовка и размещение на</w:t>
            </w:r>
            <w:r>
              <w:rPr>
                <w:sz w:val="22"/>
                <w:szCs w:val="22"/>
              </w:rPr>
              <w:t xml:space="preserve"> </w:t>
            </w:r>
            <w:hyperlink r:id="rId19" w:tooltip="http://minrpp.nso.ru/" w:history="1">
              <w:r>
                <w:rPr>
                  <w:rStyle w:val="886"/>
                  <w:color w:val="auto"/>
                  <w:sz w:val="22"/>
                  <w:szCs w:val="22"/>
                  <w:highlight w:val="white"/>
                  <w:u w:val="none"/>
                </w:rPr>
                <w:t xml:space="preserve">Сайте</w:t>
              </w:r>
              <w:r>
                <w:rPr>
                  <w:rStyle w:val="886"/>
                  <w:color w:val="auto"/>
                  <w:sz w:val="22"/>
                  <w:szCs w:val="22"/>
                  <w:u w:val="none"/>
                </w:rPr>
                <w:t xml:space="preserve"> </w:t>
              </w:r>
            </w:hyperlink>
            <w:r>
              <w:rPr>
                <w:sz w:val="22"/>
                <w:szCs w:val="22"/>
                <w:highlight w:val="white"/>
              </w:rPr>
              <w:t xml:space="preserve">Доклада об итогах реализации Программы по итогам 2024 отчетного года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pStyle w:val="883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highlight w:val="white"/>
              </w:rPr>
              <w:t xml:space="preserve">до 15 апреля 2025 года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hanging="61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white"/>
              </w:rPr>
              <w:t xml:space="preserve">контролируемые лица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лицензирования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hd w:val="clear" w:color="ffffff" w:fill="ffffff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  <w:t xml:space="preserve">оценка эффективности и результативности проведенных профилактических мероприятий. Доведение необходимой информации до контролируемых лиц.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firstLine="0"/>
              <w:jc w:val="center"/>
              <w:shd w:val="clear" w:color="ffffff" w:fill="ffffff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  <w:t xml:space="preserve">Удовлетворенность доступностью на </w:t>
            </w:r>
            <w:hyperlink r:id="rId20" w:tooltip="http://minrpp.nso.ru/" w:history="1">
              <w:r>
                <w:rPr>
                  <w:rStyle w:val="886"/>
                  <w:color w:val="auto"/>
                  <w:sz w:val="22"/>
                  <w:szCs w:val="22"/>
                  <w:u w:val="none"/>
                </w:rPr>
                <w:t xml:space="preserve">Сайте </w:t>
              </w:r>
            </w:hyperlink>
            <w:r>
              <w:rPr>
                <w:sz w:val="22"/>
                <w:szCs w:val="22"/>
              </w:rPr>
              <w:t xml:space="preserve">для контролируемых лиц информации о результатах контрольной (надзорной) деятельности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ind w:firstLine="0"/>
              <w:shd w:val="clear" w:color="ffffff" w:fill="ffffff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  <w:t xml:space="preserve">Подготовка </w:t>
            </w:r>
            <w:r>
              <w:rPr>
                <w:sz w:val="22"/>
                <w:szCs w:val="22"/>
              </w:rPr>
              <w:t xml:space="preserve">проекта Программы профилактики рисков причинения</w:t>
            </w:r>
            <w:r>
              <w:rPr>
                <w:sz w:val="22"/>
                <w:szCs w:val="22"/>
              </w:rPr>
              <w:t xml:space="preserve"> вреда (ущерба) охраняемым законом ценностям при осуществлении регионального государственного контроля (надзора) в области розничной продажи алкогольной и спиртосодержащей </w:t>
            </w:r>
            <w:r>
              <w:rPr>
                <w:sz w:val="22"/>
                <w:szCs w:val="22"/>
              </w:rPr>
              <w:t xml:space="preserve">продукции на территории Новосибирской области на 2026 год (далее - Программа на 2026 год), включающая: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firstLine="0"/>
              <w:shd w:val="clear" w:color="ffffff" w:fill="ffffff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  <w:t xml:space="preserve">- размещение на Сайте;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firstLine="0"/>
              <w:shd w:val="clear" w:color="ffffff" w:fill="ffffff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  <w:t xml:space="preserve">- общественное обсуждение проекта Программы на 2026 год;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firstLine="0"/>
              <w:shd w:val="clear" w:color="ffffff" w:fill="ffffff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  <w:t xml:space="preserve">- обсуждение на общественном совете при Министерстве;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firstLine="0"/>
              <w:shd w:val="clear" w:color="ffffff" w:fill="ffffff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  <w:t xml:space="preserve">- утверждение Программы на 2026 год приказом Министерства.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sz w:val="22"/>
                <w:szCs w:val="22"/>
                <w:highlight w:val="white"/>
              </w:rPr>
              <w:t xml:space="preserve">не позднее 20 декабря 202</w:t>
            </w:r>
            <w:r>
              <w:rPr>
                <w:sz w:val="22"/>
                <w:szCs w:val="22"/>
              </w:rPr>
              <w:t xml:space="preserve">5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hanging="61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white"/>
              </w:rPr>
              <w:t xml:space="preserve">контролируемые лица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 xml:space="preserve">юридический отдел управления лицензирования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hd w:val="clear" w:color="ffffff" w:fill="ffffff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  <w:t xml:space="preserve">обеспечение информированности контролируемых лиц о лицензионных (обязательных) требованиях.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firstLine="0"/>
              <w:jc w:val="center"/>
              <w:shd w:val="clear" w:color="ffffff" w:fill="ffffff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  <w:t xml:space="preserve">Доведение необходимой информации до контролируемых лиц. </w:t>
            </w:r>
            <w:r>
              <w:rPr>
                <w:sz w:val="22"/>
                <w:szCs w:val="22"/>
              </w:rPr>
              <w:t xml:space="preserve">Удовлетворенность доступностью на Сайте для контролируемых лиц информации о результатах мероприятий в рамках Программы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0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ind w:firstLine="0"/>
              <w:shd w:val="clear" w:color="ffffff" w:fill="ffffff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  <w:highlight w:val="white"/>
              </w:rPr>
              <w:t xml:space="preserve">размещение на</w:t>
            </w:r>
            <w:r>
              <w:rPr>
                <w:sz w:val="22"/>
                <w:szCs w:val="22"/>
              </w:rPr>
              <w:t xml:space="preserve"> </w:t>
            </w:r>
            <w:hyperlink r:id="rId21" w:tooltip="http://minrpp.nso.ru/" w:history="1">
              <w:r>
                <w:rPr>
                  <w:rStyle w:val="886"/>
                  <w:color w:val="auto"/>
                  <w:sz w:val="22"/>
                  <w:szCs w:val="22"/>
                  <w:highlight w:val="white"/>
                  <w:u w:val="none"/>
                </w:rPr>
                <w:t xml:space="preserve">Сайте</w:t>
              </w:r>
              <w:r>
                <w:rPr>
                  <w:rStyle w:val="886"/>
                  <w:color w:val="auto"/>
                  <w:sz w:val="22"/>
                  <w:szCs w:val="22"/>
                  <w:u w:val="none"/>
                </w:rPr>
                <w:t xml:space="preserve"> </w:t>
              </w:r>
            </w:hyperlink>
            <w:r>
              <w:rPr>
                <w:sz w:val="22"/>
                <w:szCs w:val="22"/>
                <w:highlight w:val="white"/>
              </w:rPr>
              <w:t xml:space="preserve">Программы на 2026 год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 xml:space="preserve">в течение 5 дней со дня утверждения, но не позднее 25.12.202</w:t>
            </w: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6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shd w:val="clear" w:color="ffffff" w:fill="ffffff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0"/>
        <w:jc w:val="center"/>
      </w:pPr>
      <w:r/>
      <w:r/>
    </w:p>
    <w:p>
      <w:pPr>
        <w:ind w:firstLine="0"/>
        <w:jc w:val="center"/>
        <w:rPr>
          <w:b/>
        </w:rPr>
      </w:pPr>
      <w:r>
        <w:rPr>
          <w:b/>
          <w:lang w:val="en-US"/>
        </w:rPr>
        <w:t xml:space="preserve">IV</w:t>
      </w:r>
      <w:r>
        <w:rPr>
          <w:b/>
        </w:rPr>
        <w:t xml:space="preserve">. Показатели результативности и эффективности Программы</w:t>
      </w:r>
      <w:r>
        <w:rPr>
          <w:b/>
        </w:rPr>
      </w:r>
      <w:r>
        <w:rPr>
          <w:b/>
        </w:rPr>
      </w:r>
    </w:p>
    <w:p>
      <w:pPr>
        <w:ind w:firstLine="0"/>
        <w:jc w:val="center"/>
      </w:pPr>
      <w:r/>
      <w:r/>
    </w:p>
    <w:p>
      <w:r>
        <w:t xml:space="preserve">22. Показателями результативности Программы являются:</w:t>
      </w:r>
      <w:r/>
    </w:p>
    <w:p>
      <w:r>
        <w:t xml:space="preserve">1) количество выявленных нарушений по результатам проведения контрольных (надзорных) мероприятий;</w:t>
      </w:r>
      <w:r/>
    </w:p>
    <w:p>
      <w:r>
        <w:t xml:space="preserve">2) количество объявленных предостережений;</w:t>
      </w:r>
      <w:r/>
    </w:p>
    <w:p>
      <w:r>
        <w:t xml:space="preserve">3) количество контролируемых лиц, которым объявлены предостережения;</w:t>
      </w:r>
      <w:r/>
    </w:p>
    <w:p>
      <w:r>
        <w:t xml:space="preserve">4) </w:t>
      </w:r>
      <w:r>
        <w:rPr>
          <w:highlight w:val="white"/>
        </w:rPr>
        <w:t xml:space="preserve">количество контролируемых лиц и объектов контроля, в отношении которых проведены профилактические визиты, в том числе по заявлениям контролируемых лиц и (или) обязательные профилактические визиты</w:t>
      </w:r>
      <w:r>
        <w:t xml:space="preserve">;</w:t>
      </w:r>
      <w:r/>
    </w:p>
    <w:p>
      <w:r>
        <w:t xml:space="preserve">5) </w:t>
      </w:r>
      <w:r>
        <w:rPr>
          <w:highlight w:val="white"/>
        </w:rPr>
        <w:t xml:space="preserve">информирование контролируемых лиц по вопросам соблюдения лицензионных (обязательных) требований, оценка соблюдения которых является предметом регионального государственного контроля, в том числе посредством размещения на </w:t>
      </w:r>
      <w:hyperlink r:id="rId22" w:tooltip="http://minrpp.nso.ru/" w:history="1">
        <w:r>
          <w:rPr>
            <w:rStyle w:val="886"/>
            <w:color w:val="auto"/>
            <w:highlight w:val="white"/>
            <w:u w:val="none"/>
          </w:rPr>
          <w:t xml:space="preserve">Сайте</w:t>
        </w:r>
      </w:hyperlink>
      <w:r>
        <w:rPr>
          <w:highlight w:val="white"/>
        </w:rPr>
        <w:t xml:space="preserve">.</w:t>
      </w:r>
      <w:r/>
    </w:p>
    <w:p>
      <w:r>
        <w:t xml:space="preserve">23. Показателями эффективности Программы являются:</w:t>
      </w:r>
      <w:r/>
    </w:p>
    <w:p>
      <w:r>
        <w:t xml:space="preserve">1) экономический эффект, включающий в себя минимизацию ресурсных затрат всех участников контрольной (надзорной) деятельности за счет снижения административного давления;</w:t>
      </w:r>
      <w:r/>
    </w:p>
    <w:p>
      <w:r>
        <w:t xml:space="preserve">2) социальный эффект, включающий в себя:</w:t>
      </w:r>
      <w:r/>
    </w:p>
    <w:p>
      <w:r>
        <w:t xml:space="preserve">а) формирование у контролируемых лиц заинтересованности в соблюдении лицензионных (обязательных) требований;</w:t>
      </w:r>
      <w:r/>
    </w:p>
    <w:p>
      <w:r>
        <w:t xml:space="preserve">б) повышение прозрачности деятельности Министерства;</w:t>
      </w:r>
      <w:r/>
    </w:p>
    <w:p>
      <w:r>
        <w:t xml:space="preserve">в) повышение уровня доверия контролируемых лиц к деятельности Министерства.</w:t>
      </w:r>
      <w:r/>
    </w:p>
    <w:p>
      <w:r>
        <w:t xml:space="preserve">24. Оценка выполнения Перечня профилактических мероприятий</w:t>
      </w:r>
      <w:r>
        <w:br/>
        <w:t xml:space="preserve">и эффективности Программы осуществляется управлением лицензирования</w:t>
      </w:r>
      <w:r>
        <w:br/>
        <w:t xml:space="preserve">по итогам календарного года.</w:t>
      </w:r>
      <w:r/>
    </w:p>
    <w:sectPr>
      <w:headerReference w:type="default" r:id="rId10"/>
      <w:footnotePr/>
      <w:endnotePr/>
      <w:type w:val="nextPage"/>
      <w:pgSz w:w="11906" w:h="16838" w:orient="portrait"/>
      <w:pgMar w:top="1134" w:right="567" w:bottom="851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6</w:t>
    </w:r>
    <w:r>
      <w:fldChar w:fldCharType="end"/>
    </w:r>
    <w:r/>
  </w:p>
  <w:p>
    <w:pPr>
      <w:pStyle w:val="87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ascii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4">
    <w:name w:val="Heading 1 Char"/>
    <w:basedOn w:val="709"/>
    <w:link w:val="700"/>
    <w:uiPriority w:val="9"/>
    <w:rPr>
      <w:rFonts w:ascii="Arial" w:hAnsi="Arial" w:eastAsia="Arial" w:cs="Arial"/>
      <w:sz w:val="40"/>
      <w:szCs w:val="40"/>
    </w:rPr>
  </w:style>
  <w:style w:type="character" w:styleId="685">
    <w:name w:val="Heading 2 Char"/>
    <w:basedOn w:val="709"/>
    <w:link w:val="701"/>
    <w:uiPriority w:val="9"/>
    <w:rPr>
      <w:rFonts w:ascii="Arial" w:hAnsi="Arial" w:eastAsia="Arial" w:cs="Arial"/>
      <w:sz w:val="34"/>
    </w:rPr>
  </w:style>
  <w:style w:type="character" w:styleId="686">
    <w:name w:val="Heading 3 Char"/>
    <w:basedOn w:val="709"/>
    <w:link w:val="702"/>
    <w:uiPriority w:val="9"/>
    <w:rPr>
      <w:rFonts w:ascii="Arial" w:hAnsi="Arial" w:eastAsia="Arial" w:cs="Arial"/>
      <w:sz w:val="30"/>
      <w:szCs w:val="30"/>
    </w:rPr>
  </w:style>
  <w:style w:type="character" w:styleId="687">
    <w:name w:val="Heading 4 Char"/>
    <w:basedOn w:val="709"/>
    <w:link w:val="703"/>
    <w:uiPriority w:val="9"/>
    <w:rPr>
      <w:rFonts w:ascii="Arial" w:hAnsi="Arial" w:eastAsia="Arial" w:cs="Arial"/>
      <w:b/>
      <w:bCs/>
      <w:sz w:val="26"/>
      <w:szCs w:val="26"/>
    </w:rPr>
  </w:style>
  <w:style w:type="character" w:styleId="688">
    <w:name w:val="Heading 5 Char"/>
    <w:basedOn w:val="709"/>
    <w:link w:val="704"/>
    <w:uiPriority w:val="9"/>
    <w:rPr>
      <w:rFonts w:ascii="Arial" w:hAnsi="Arial" w:eastAsia="Arial" w:cs="Arial"/>
      <w:b/>
      <w:bCs/>
      <w:sz w:val="24"/>
      <w:szCs w:val="24"/>
    </w:rPr>
  </w:style>
  <w:style w:type="character" w:styleId="689">
    <w:name w:val="Heading 6 Char"/>
    <w:basedOn w:val="709"/>
    <w:link w:val="705"/>
    <w:uiPriority w:val="9"/>
    <w:rPr>
      <w:rFonts w:ascii="Arial" w:hAnsi="Arial" w:eastAsia="Arial" w:cs="Arial"/>
      <w:b/>
      <w:bCs/>
      <w:sz w:val="22"/>
      <w:szCs w:val="22"/>
    </w:rPr>
  </w:style>
  <w:style w:type="character" w:styleId="690">
    <w:name w:val="Heading 7 Char"/>
    <w:basedOn w:val="709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>
    <w:name w:val="Heading 8 Char"/>
    <w:basedOn w:val="709"/>
    <w:link w:val="707"/>
    <w:uiPriority w:val="9"/>
    <w:rPr>
      <w:rFonts w:ascii="Arial" w:hAnsi="Arial" w:eastAsia="Arial" w:cs="Arial"/>
      <w:i/>
      <w:iCs/>
      <w:sz w:val="22"/>
      <w:szCs w:val="22"/>
    </w:rPr>
  </w:style>
  <w:style w:type="character" w:styleId="692">
    <w:name w:val="Heading 9 Char"/>
    <w:basedOn w:val="709"/>
    <w:link w:val="708"/>
    <w:uiPriority w:val="9"/>
    <w:rPr>
      <w:rFonts w:ascii="Arial" w:hAnsi="Arial" w:eastAsia="Arial" w:cs="Arial"/>
      <w:i/>
      <w:iCs/>
      <w:sz w:val="21"/>
      <w:szCs w:val="21"/>
    </w:rPr>
  </w:style>
  <w:style w:type="character" w:styleId="693">
    <w:name w:val="Title Char"/>
    <w:basedOn w:val="709"/>
    <w:link w:val="722"/>
    <w:uiPriority w:val="10"/>
    <w:rPr>
      <w:sz w:val="48"/>
      <w:szCs w:val="48"/>
    </w:rPr>
  </w:style>
  <w:style w:type="character" w:styleId="694">
    <w:name w:val="Subtitle Char"/>
    <w:basedOn w:val="709"/>
    <w:link w:val="724"/>
    <w:uiPriority w:val="11"/>
    <w:rPr>
      <w:sz w:val="24"/>
      <w:szCs w:val="24"/>
    </w:rPr>
  </w:style>
  <w:style w:type="character" w:styleId="695">
    <w:name w:val="Quote Char"/>
    <w:link w:val="726"/>
    <w:uiPriority w:val="29"/>
    <w:rPr>
      <w:i/>
    </w:rPr>
  </w:style>
  <w:style w:type="character" w:styleId="696">
    <w:name w:val="Intense Quote Char"/>
    <w:link w:val="728"/>
    <w:uiPriority w:val="30"/>
    <w:rPr>
      <w:i/>
    </w:rPr>
  </w:style>
  <w:style w:type="character" w:styleId="697">
    <w:name w:val="Footnote Text Char"/>
    <w:link w:val="860"/>
    <w:uiPriority w:val="99"/>
    <w:rPr>
      <w:sz w:val="18"/>
    </w:rPr>
  </w:style>
  <w:style w:type="character" w:styleId="698">
    <w:name w:val="Endnote Text Char"/>
    <w:link w:val="863"/>
    <w:uiPriority w:val="99"/>
    <w:rPr>
      <w:sz w:val="20"/>
    </w:rPr>
  </w:style>
  <w:style w:type="paragraph" w:styleId="699" w:default="1">
    <w:name w:val="Normal"/>
    <w:qFormat/>
    <w:pPr>
      <w:ind w:firstLine="709"/>
      <w:jc w:val="both"/>
      <w:spacing w:after="0" w:line="240" w:lineRule="auto"/>
      <w:widowControl w:val="off"/>
    </w:pPr>
    <w:rPr>
      <w:rFonts w:ascii="Times New Roman" w:hAnsi="Times New Roman" w:cs="Times New Roman"/>
      <w:sz w:val="28"/>
      <w:szCs w:val="28"/>
      <w:lang w:eastAsia="ru-RU"/>
    </w:rPr>
  </w:style>
  <w:style w:type="paragraph" w:styleId="700">
    <w:name w:val="Heading 1"/>
    <w:basedOn w:val="699"/>
    <w:next w:val="699"/>
    <w:link w:val="71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1">
    <w:name w:val="Heading 2"/>
    <w:basedOn w:val="699"/>
    <w:next w:val="699"/>
    <w:link w:val="71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2">
    <w:name w:val="Heading 3"/>
    <w:basedOn w:val="699"/>
    <w:next w:val="699"/>
    <w:link w:val="71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3">
    <w:name w:val="Heading 4"/>
    <w:basedOn w:val="699"/>
    <w:next w:val="699"/>
    <w:link w:val="71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699"/>
    <w:next w:val="699"/>
    <w:link w:val="71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5">
    <w:name w:val="Heading 6"/>
    <w:basedOn w:val="699"/>
    <w:next w:val="699"/>
    <w:link w:val="7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6">
    <w:name w:val="Heading 7"/>
    <w:basedOn w:val="699"/>
    <w:next w:val="699"/>
    <w:link w:val="71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7">
    <w:name w:val="Heading 8"/>
    <w:basedOn w:val="699"/>
    <w:next w:val="699"/>
    <w:link w:val="7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699"/>
    <w:next w:val="699"/>
    <w:link w:val="72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 w:default="1">
    <w:name w:val="Default Paragraph Font"/>
    <w:uiPriority w:val="1"/>
    <w:semiHidden/>
    <w:unhideWhenUsed/>
  </w:style>
  <w:style w:type="table" w:styleId="71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1" w:default="1">
    <w:name w:val="No List"/>
    <w:uiPriority w:val="99"/>
    <w:semiHidden/>
    <w:unhideWhenUsed/>
  </w:style>
  <w:style w:type="character" w:styleId="712" w:customStyle="1">
    <w:name w:val="Заголовок 1 Знак"/>
    <w:basedOn w:val="709"/>
    <w:link w:val="700"/>
    <w:uiPriority w:val="9"/>
    <w:rPr>
      <w:rFonts w:ascii="Arial" w:hAnsi="Arial" w:eastAsia="Arial" w:cs="Arial"/>
      <w:sz w:val="40"/>
      <w:szCs w:val="40"/>
    </w:rPr>
  </w:style>
  <w:style w:type="character" w:styleId="713" w:customStyle="1">
    <w:name w:val="Заголовок 2 Знак"/>
    <w:basedOn w:val="709"/>
    <w:link w:val="701"/>
    <w:uiPriority w:val="9"/>
    <w:rPr>
      <w:rFonts w:ascii="Arial" w:hAnsi="Arial" w:eastAsia="Arial" w:cs="Arial"/>
      <w:sz w:val="34"/>
    </w:rPr>
  </w:style>
  <w:style w:type="character" w:styleId="714" w:customStyle="1">
    <w:name w:val="Заголовок 3 Знак"/>
    <w:basedOn w:val="709"/>
    <w:link w:val="702"/>
    <w:uiPriority w:val="9"/>
    <w:rPr>
      <w:rFonts w:ascii="Arial" w:hAnsi="Arial" w:eastAsia="Arial" w:cs="Arial"/>
      <w:sz w:val="30"/>
      <w:szCs w:val="30"/>
    </w:rPr>
  </w:style>
  <w:style w:type="character" w:styleId="715" w:customStyle="1">
    <w:name w:val="Заголовок 4 Знак"/>
    <w:basedOn w:val="709"/>
    <w:link w:val="703"/>
    <w:uiPriority w:val="9"/>
    <w:rPr>
      <w:rFonts w:ascii="Arial" w:hAnsi="Arial" w:eastAsia="Arial" w:cs="Arial"/>
      <w:b/>
      <w:bCs/>
      <w:sz w:val="26"/>
      <w:szCs w:val="26"/>
    </w:rPr>
  </w:style>
  <w:style w:type="character" w:styleId="716" w:customStyle="1">
    <w:name w:val="Заголовок 5 Знак"/>
    <w:basedOn w:val="709"/>
    <w:link w:val="704"/>
    <w:uiPriority w:val="9"/>
    <w:rPr>
      <w:rFonts w:ascii="Arial" w:hAnsi="Arial" w:eastAsia="Arial" w:cs="Arial"/>
      <w:b/>
      <w:bCs/>
      <w:sz w:val="24"/>
      <w:szCs w:val="24"/>
    </w:rPr>
  </w:style>
  <w:style w:type="character" w:styleId="717" w:customStyle="1">
    <w:name w:val="Заголовок 6 Знак"/>
    <w:basedOn w:val="709"/>
    <w:link w:val="705"/>
    <w:uiPriority w:val="9"/>
    <w:rPr>
      <w:rFonts w:ascii="Arial" w:hAnsi="Arial" w:eastAsia="Arial" w:cs="Arial"/>
      <w:b/>
      <w:bCs/>
      <w:sz w:val="22"/>
      <w:szCs w:val="22"/>
    </w:rPr>
  </w:style>
  <w:style w:type="character" w:styleId="718" w:customStyle="1">
    <w:name w:val="Заголовок 7 Знак"/>
    <w:basedOn w:val="709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9" w:customStyle="1">
    <w:name w:val="Заголовок 8 Знак"/>
    <w:basedOn w:val="709"/>
    <w:link w:val="707"/>
    <w:uiPriority w:val="9"/>
    <w:rPr>
      <w:rFonts w:ascii="Arial" w:hAnsi="Arial" w:eastAsia="Arial" w:cs="Arial"/>
      <w:i/>
      <w:iCs/>
      <w:sz w:val="22"/>
      <w:szCs w:val="22"/>
    </w:rPr>
  </w:style>
  <w:style w:type="character" w:styleId="720" w:customStyle="1">
    <w:name w:val="Заголовок 9 Знак"/>
    <w:basedOn w:val="709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21">
    <w:name w:val="No Spacing"/>
    <w:uiPriority w:val="1"/>
    <w:qFormat/>
    <w:pPr>
      <w:spacing w:after="0" w:line="240" w:lineRule="auto"/>
    </w:pPr>
  </w:style>
  <w:style w:type="paragraph" w:styleId="722">
    <w:name w:val="Title"/>
    <w:basedOn w:val="699"/>
    <w:next w:val="699"/>
    <w:link w:val="72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3" w:customStyle="1">
    <w:name w:val="Название Знак"/>
    <w:basedOn w:val="709"/>
    <w:link w:val="722"/>
    <w:uiPriority w:val="10"/>
    <w:rPr>
      <w:sz w:val="48"/>
      <w:szCs w:val="48"/>
    </w:rPr>
  </w:style>
  <w:style w:type="paragraph" w:styleId="724">
    <w:name w:val="Subtitle"/>
    <w:basedOn w:val="699"/>
    <w:next w:val="699"/>
    <w:link w:val="725"/>
    <w:uiPriority w:val="11"/>
    <w:qFormat/>
    <w:pPr>
      <w:spacing w:before="200" w:after="200"/>
    </w:pPr>
    <w:rPr>
      <w:sz w:val="24"/>
      <w:szCs w:val="24"/>
    </w:rPr>
  </w:style>
  <w:style w:type="character" w:styleId="725" w:customStyle="1">
    <w:name w:val="Подзаголовок Знак"/>
    <w:basedOn w:val="709"/>
    <w:link w:val="724"/>
    <w:uiPriority w:val="11"/>
    <w:rPr>
      <w:sz w:val="24"/>
      <w:szCs w:val="24"/>
    </w:rPr>
  </w:style>
  <w:style w:type="paragraph" w:styleId="726">
    <w:name w:val="Quote"/>
    <w:basedOn w:val="699"/>
    <w:next w:val="699"/>
    <w:link w:val="727"/>
    <w:uiPriority w:val="29"/>
    <w:qFormat/>
    <w:pPr>
      <w:ind w:left="720" w:right="720"/>
    </w:pPr>
    <w:rPr>
      <w:i/>
    </w:rPr>
  </w:style>
  <w:style w:type="character" w:styleId="727" w:customStyle="1">
    <w:name w:val="Цитата 2 Знак"/>
    <w:link w:val="726"/>
    <w:uiPriority w:val="29"/>
    <w:rPr>
      <w:i/>
    </w:rPr>
  </w:style>
  <w:style w:type="paragraph" w:styleId="728">
    <w:name w:val="Intense Quote"/>
    <w:basedOn w:val="699"/>
    <w:next w:val="699"/>
    <w:link w:val="72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 w:customStyle="1">
    <w:name w:val="Выделенная цитата Знак"/>
    <w:link w:val="728"/>
    <w:uiPriority w:val="30"/>
    <w:rPr>
      <w:i/>
    </w:rPr>
  </w:style>
  <w:style w:type="character" w:styleId="730" w:customStyle="1">
    <w:name w:val="Header Char"/>
    <w:basedOn w:val="709"/>
    <w:uiPriority w:val="99"/>
  </w:style>
  <w:style w:type="character" w:styleId="731" w:customStyle="1">
    <w:name w:val="Footer Char"/>
    <w:basedOn w:val="709"/>
    <w:uiPriority w:val="99"/>
  </w:style>
  <w:style w:type="paragraph" w:styleId="732">
    <w:name w:val="Caption"/>
    <w:basedOn w:val="699"/>
    <w:next w:val="6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3" w:customStyle="1">
    <w:name w:val="Caption Char"/>
    <w:uiPriority w:val="99"/>
  </w:style>
  <w:style w:type="table" w:styleId="734">
    <w:name w:val="Table Grid"/>
    <w:basedOn w:val="71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5" w:customStyle="1">
    <w:name w:val="Table Grid Light"/>
    <w:basedOn w:val="71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6" w:customStyle="1">
    <w:name w:val="Plain Table 1"/>
    <w:basedOn w:val="71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 w:customStyle="1">
    <w:name w:val="Plain Table 2"/>
    <w:basedOn w:val="71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 w:customStyle="1">
    <w:name w:val="Plain Table 3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9" w:customStyle="1">
    <w:name w:val="Plain Table 4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Plain Table 5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1 Light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4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3" w:customStyle="1">
    <w:name w:val="Grid Table 4 - Accent 1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4" w:customStyle="1">
    <w:name w:val="Grid Table 4 - Accent 2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5" w:customStyle="1">
    <w:name w:val="Grid Table 4 - Accent 3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6" w:customStyle="1">
    <w:name w:val="Grid Table 4 - Accent 4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7" w:customStyle="1">
    <w:name w:val="Grid Table 4 - Accent 5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8" w:customStyle="1">
    <w:name w:val="Grid Table 4 - Accent 6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9" w:customStyle="1">
    <w:name w:val="Grid Table 5 Dark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6 Colorful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7" w:customStyle="1">
    <w:name w:val="Grid Table 6 Colorful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8" w:customStyle="1">
    <w:name w:val="Grid Table 6 Colorful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9" w:customStyle="1">
    <w:name w:val="Grid Table 6 Colorful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0" w:customStyle="1">
    <w:name w:val="Grid Table 6 Colorful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1" w:customStyle="1">
    <w:name w:val="Grid Table 6 Colorful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2" w:customStyle="1">
    <w:name w:val="Grid Table 6 Colorful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3" w:customStyle="1">
    <w:name w:val="Grid Table 7 Colorful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7 Colorful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7 Colorful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7 Colorful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1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2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3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4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5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6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4" w:customStyle="1">
    <w:name w:val="List Table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5 Dark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6 Colorful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6" w:customStyle="1">
    <w:name w:val="List Table 6 Colorful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7" w:customStyle="1">
    <w:name w:val="List Table 6 Colorful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8" w:customStyle="1">
    <w:name w:val="List Table 6 Colorful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9" w:customStyle="1">
    <w:name w:val="List Table 6 Colorful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0" w:customStyle="1">
    <w:name w:val="List Table 6 Colorful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1" w:customStyle="1">
    <w:name w:val="List Table 6 Colorful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2" w:customStyle="1">
    <w:name w:val="List Table 7 Colorful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7 Colorful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7 Colorful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7 Colorful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ned - Accent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0" w:customStyle="1">
    <w:name w:val="Lined - Accent 1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1" w:customStyle="1">
    <w:name w:val="Lined - Accent 2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2" w:customStyle="1">
    <w:name w:val="Lined - Accent 3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3" w:customStyle="1">
    <w:name w:val="Lined - Accent 4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4" w:customStyle="1">
    <w:name w:val="Lined - Accent 5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5" w:customStyle="1">
    <w:name w:val="Lined - Accent 6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6" w:customStyle="1">
    <w:name w:val="Bordered &amp; Lined - Accent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7" w:customStyle="1">
    <w:name w:val="Bordered &amp; Lined - Accent 1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8" w:customStyle="1">
    <w:name w:val="Bordered &amp; Lined - Accent 2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9" w:customStyle="1">
    <w:name w:val="Bordered &amp; Lined - Accent 3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0" w:customStyle="1">
    <w:name w:val="Bordered &amp; Lined - Accent 4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1" w:customStyle="1">
    <w:name w:val="Bordered &amp; Lined - Accent 5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2" w:customStyle="1">
    <w:name w:val="Bordered &amp; Lined - Accent 6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3" w:customStyle="1">
    <w:name w:val="Bordered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4" w:customStyle="1">
    <w:name w:val="Bordered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5" w:customStyle="1">
    <w:name w:val="Bordered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6" w:customStyle="1">
    <w:name w:val="Bordered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7" w:customStyle="1">
    <w:name w:val="Bordered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8" w:customStyle="1">
    <w:name w:val="Bordered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9" w:customStyle="1">
    <w:name w:val="Bordered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60">
    <w:name w:val="footnote text"/>
    <w:basedOn w:val="699"/>
    <w:link w:val="861"/>
    <w:uiPriority w:val="99"/>
    <w:semiHidden/>
    <w:unhideWhenUsed/>
    <w:pPr>
      <w:spacing w:after="40"/>
    </w:pPr>
    <w:rPr>
      <w:sz w:val="18"/>
    </w:rPr>
  </w:style>
  <w:style w:type="character" w:styleId="861" w:customStyle="1">
    <w:name w:val="Текст сноски Знак"/>
    <w:link w:val="860"/>
    <w:uiPriority w:val="99"/>
    <w:rPr>
      <w:sz w:val="18"/>
    </w:rPr>
  </w:style>
  <w:style w:type="character" w:styleId="862">
    <w:name w:val="footnote reference"/>
    <w:basedOn w:val="709"/>
    <w:uiPriority w:val="99"/>
    <w:unhideWhenUsed/>
    <w:rPr>
      <w:vertAlign w:val="superscript"/>
    </w:rPr>
  </w:style>
  <w:style w:type="paragraph" w:styleId="863">
    <w:name w:val="endnote text"/>
    <w:basedOn w:val="699"/>
    <w:link w:val="864"/>
    <w:uiPriority w:val="99"/>
    <w:semiHidden/>
    <w:unhideWhenUsed/>
    <w:rPr>
      <w:sz w:val="20"/>
    </w:rPr>
  </w:style>
  <w:style w:type="character" w:styleId="864" w:customStyle="1">
    <w:name w:val="Текст концевой сноски Знак"/>
    <w:link w:val="863"/>
    <w:uiPriority w:val="99"/>
    <w:rPr>
      <w:sz w:val="20"/>
    </w:rPr>
  </w:style>
  <w:style w:type="character" w:styleId="865">
    <w:name w:val="endnote reference"/>
    <w:basedOn w:val="709"/>
    <w:uiPriority w:val="99"/>
    <w:semiHidden/>
    <w:unhideWhenUsed/>
    <w:rPr>
      <w:vertAlign w:val="superscript"/>
    </w:rPr>
  </w:style>
  <w:style w:type="paragraph" w:styleId="866">
    <w:name w:val="toc 1"/>
    <w:basedOn w:val="699"/>
    <w:next w:val="699"/>
    <w:uiPriority w:val="39"/>
    <w:unhideWhenUsed/>
    <w:pPr>
      <w:ind w:firstLine="0"/>
      <w:spacing w:after="57"/>
    </w:pPr>
  </w:style>
  <w:style w:type="paragraph" w:styleId="867">
    <w:name w:val="toc 2"/>
    <w:basedOn w:val="699"/>
    <w:next w:val="699"/>
    <w:uiPriority w:val="39"/>
    <w:unhideWhenUsed/>
    <w:pPr>
      <w:ind w:left="283" w:firstLine="0"/>
      <w:spacing w:after="57"/>
    </w:pPr>
  </w:style>
  <w:style w:type="paragraph" w:styleId="868">
    <w:name w:val="toc 3"/>
    <w:basedOn w:val="699"/>
    <w:next w:val="699"/>
    <w:uiPriority w:val="39"/>
    <w:unhideWhenUsed/>
    <w:pPr>
      <w:ind w:left="567" w:firstLine="0"/>
      <w:spacing w:after="57"/>
    </w:pPr>
  </w:style>
  <w:style w:type="paragraph" w:styleId="869">
    <w:name w:val="toc 4"/>
    <w:basedOn w:val="699"/>
    <w:next w:val="699"/>
    <w:uiPriority w:val="39"/>
    <w:unhideWhenUsed/>
    <w:pPr>
      <w:ind w:left="850" w:firstLine="0"/>
      <w:spacing w:after="57"/>
    </w:pPr>
  </w:style>
  <w:style w:type="paragraph" w:styleId="870">
    <w:name w:val="toc 5"/>
    <w:basedOn w:val="699"/>
    <w:next w:val="699"/>
    <w:uiPriority w:val="39"/>
    <w:unhideWhenUsed/>
    <w:pPr>
      <w:ind w:left="1134" w:firstLine="0"/>
      <w:spacing w:after="57"/>
    </w:pPr>
  </w:style>
  <w:style w:type="paragraph" w:styleId="871">
    <w:name w:val="toc 6"/>
    <w:basedOn w:val="699"/>
    <w:next w:val="699"/>
    <w:uiPriority w:val="39"/>
    <w:unhideWhenUsed/>
    <w:pPr>
      <w:ind w:left="1417" w:firstLine="0"/>
      <w:spacing w:after="57"/>
    </w:pPr>
  </w:style>
  <w:style w:type="paragraph" w:styleId="872">
    <w:name w:val="toc 7"/>
    <w:basedOn w:val="699"/>
    <w:next w:val="699"/>
    <w:uiPriority w:val="39"/>
    <w:unhideWhenUsed/>
    <w:pPr>
      <w:ind w:left="1701" w:firstLine="0"/>
      <w:spacing w:after="57"/>
    </w:pPr>
  </w:style>
  <w:style w:type="paragraph" w:styleId="873">
    <w:name w:val="toc 8"/>
    <w:basedOn w:val="699"/>
    <w:next w:val="699"/>
    <w:uiPriority w:val="39"/>
    <w:unhideWhenUsed/>
    <w:pPr>
      <w:ind w:left="1984" w:firstLine="0"/>
      <w:spacing w:after="57"/>
    </w:pPr>
  </w:style>
  <w:style w:type="paragraph" w:styleId="874">
    <w:name w:val="toc 9"/>
    <w:basedOn w:val="699"/>
    <w:next w:val="699"/>
    <w:uiPriority w:val="39"/>
    <w:unhideWhenUsed/>
    <w:pPr>
      <w:ind w:left="2268" w:firstLine="0"/>
      <w:spacing w:after="57"/>
    </w:pPr>
  </w:style>
  <w:style w:type="paragraph" w:styleId="875">
    <w:name w:val="TOC Heading"/>
    <w:uiPriority w:val="39"/>
    <w:unhideWhenUsed/>
  </w:style>
  <w:style w:type="paragraph" w:styleId="876">
    <w:name w:val="table of figures"/>
    <w:basedOn w:val="699"/>
    <w:next w:val="699"/>
    <w:uiPriority w:val="99"/>
    <w:unhideWhenUsed/>
  </w:style>
  <w:style w:type="paragraph" w:styleId="877">
    <w:name w:val="Header"/>
    <w:basedOn w:val="699"/>
    <w:link w:val="87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8" w:customStyle="1">
    <w:name w:val="Верхний колонтитул Знак"/>
    <w:basedOn w:val="709"/>
    <w:link w:val="877"/>
    <w:uiPriority w:val="99"/>
    <w:rPr>
      <w:rFonts w:ascii="Times New Roman" w:hAnsi="Times New Roman" w:cs="Times New Roman"/>
      <w:sz w:val="28"/>
      <w:szCs w:val="28"/>
      <w:lang w:eastAsia="ru-RU"/>
    </w:rPr>
  </w:style>
  <w:style w:type="paragraph" w:styleId="879">
    <w:name w:val="Footer"/>
    <w:basedOn w:val="699"/>
    <w:link w:val="88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0" w:customStyle="1">
    <w:name w:val="Нижний колонтитул Знак"/>
    <w:basedOn w:val="709"/>
    <w:link w:val="879"/>
    <w:uiPriority w:val="99"/>
    <w:rPr>
      <w:rFonts w:ascii="Times New Roman" w:hAnsi="Times New Roman" w:cs="Times New Roman"/>
      <w:sz w:val="28"/>
      <w:szCs w:val="28"/>
      <w:lang w:eastAsia="ru-RU"/>
    </w:rPr>
  </w:style>
  <w:style w:type="paragraph" w:styleId="881">
    <w:name w:val="Balloon Text"/>
    <w:basedOn w:val="699"/>
    <w:link w:val="882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82" w:customStyle="1">
    <w:name w:val="Текст выноски Знак"/>
    <w:basedOn w:val="709"/>
    <w:link w:val="881"/>
    <w:uiPriority w:val="99"/>
    <w:semiHidden/>
    <w:rPr>
      <w:rFonts w:ascii="Segoe UI" w:hAnsi="Segoe UI" w:cs="Segoe UI"/>
      <w:sz w:val="18"/>
      <w:szCs w:val="18"/>
      <w:lang w:eastAsia="ru-RU"/>
    </w:rPr>
  </w:style>
  <w:style w:type="paragraph" w:styleId="883" w:customStyle="1">
    <w:name w:val="ConsPlusNormal"/>
    <w:pPr>
      <w:spacing w:after="0" w:line="240" w:lineRule="auto"/>
      <w:widowControl w:val="off"/>
    </w:pPr>
    <w:rPr>
      <w:rFonts w:ascii="Times New Roman" w:hAnsi="Times New Roman" w:cs="Times New Roman" w:eastAsiaTheme="minorEastAsia"/>
      <w:sz w:val="28"/>
      <w:szCs w:val="28"/>
      <w:lang w:eastAsia="ru-RU"/>
    </w:rPr>
  </w:style>
  <w:style w:type="paragraph" w:styleId="884" w:customStyle="1">
    <w:name w:val="ConsPlusTitle"/>
    <w:uiPriority w:val="99"/>
    <w:pPr>
      <w:spacing w:after="0" w:line="240" w:lineRule="auto"/>
      <w:widowControl w:val="off"/>
    </w:pPr>
    <w:rPr>
      <w:rFonts w:ascii="Times New Roman" w:hAnsi="Times New Roman" w:cs="Times New Roman" w:eastAsiaTheme="minorEastAsia"/>
      <w:b/>
      <w:bCs/>
      <w:sz w:val="30"/>
      <w:szCs w:val="30"/>
      <w:lang w:eastAsia="ru-RU"/>
    </w:rPr>
  </w:style>
  <w:style w:type="paragraph" w:styleId="885">
    <w:name w:val="List Paragraph"/>
    <w:basedOn w:val="699"/>
    <w:uiPriority w:val="34"/>
    <w:qFormat/>
    <w:pPr>
      <w:contextualSpacing/>
      <w:ind w:left="720"/>
    </w:pPr>
  </w:style>
  <w:style w:type="character" w:styleId="886">
    <w:name w:val="Hyperlink"/>
    <w:basedOn w:val="709"/>
    <w:uiPriority w:val="99"/>
    <w:rPr>
      <w:rFonts w:cs="Times New Roman"/>
      <w:color w:val="0000ff" w:themeColor="hyperlink"/>
      <w:u w:val="single"/>
    </w:rPr>
  </w:style>
  <w:style w:type="character" w:styleId="887">
    <w:name w:val="annotation reference"/>
    <w:basedOn w:val="709"/>
    <w:uiPriority w:val="99"/>
    <w:rPr>
      <w:sz w:val="16"/>
      <w:szCs w:val="16"/>
    </w:rPr>
  </w:style>
  <w:style w:type="paragraph" w:styleId="888">
    <w:name w:val="annotation text"/>
    <w:basedOn w:val="699"/>
    <w:link w:val="889"/>
    <w:uiPriority w:val="99"/>
    <w:rPr>
      <w:sz w:val="20"/>
      <w:szCs w:val="20"/>
    </w:rPr>
  </w:style>
  <w:style w:type="character" w:styleId="889" w:customStyle="1">
    <w:name w:val="Текст примечания Знак"/>
    <w:basedOn w:val="709"/>
    <w:link w:val="888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890">
    <w:name w:val="annotation subject"/>
    <w:basedOn w:val="888"/>
    <w:next w:val="888"/>
    <w:link w:val="891"/>
    <w:uiPriority w:val="99"/>
    <w:rPr>
      <w:b/>
      <w:bCs/>
    </w:rPr>
  </w:style>
  <w:style w:type="character" w:styleId="891" w:customStyle="1">
    <w:name w:val="Тема примечания Знак"/>
    <w:basedOn w:val="889"/>
    <w:link w:val="890"/>
    <w:uiPriority w:val="99"/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wmf"/><Relationship Id="rId13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16" Type="http://schemas.openxmlformats.org/officeDocument/2006/relationships/hyperlink" Target="http://minrpp.nso.ru/" TargetMode="External"/><Relationship Id="rId17" Type="http://schemas.openxmlformats.org/officeDocument/2006/relationships/hyperlink" Target="http://minrpp.nso.ru/" TargetMode="External"/><Relationship Id="rId18" Type="http://schemas.openxmlformats.org/officeDocument/2006/relationships/hyperlink" Target="http://minrpp.nso.ru/" TargetMode="External"/><Relationship Id="rId19" Type="http://schemas.openxmlformats.org/officeDocument/2006/relationships/hyperlink" Target="http://minrpp.nso.ru/" TargetMode="External"/><Relationship Id="rId20" Type="http://schemas.openxmlformats.org/officeDocument/2006/relationships/hyperlink" Target="http://minrpp.nso.ru/" TargetMode="External"/><Relationship Id="rId21" Type="http://schemas.openxmlformats.org/officeDocument/2006/relationships/hyperlink" Target="http://minrpp.nso.ru/" TargetMode="External"/><Relationship Id="rId22" Type="http://schemas.openxmlformats.org/officeDocument/2006/relationships/hyperlink" Target="http://minrpp.nso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CF7E9-46EA-45DC-9B25-893AD097F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АГНОиПНО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Гритчина Наталья Ивановна</dc:creator>
  <cp:revision>9</cp:revision>
  <dcterms:created xsi:type="dcterms:W3CDTF">2024-09-11T04:33:00Z</dcterms:created>
  <dcterms:modified xsi:type="dcterms:W3CDTF">2024-12-11T09:59:17Z</dcterms:modified>
</cp:coreProperties>
</file>