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540"/>
        <w:jc w:val="both"/>
      </w:pPr>
      <w:r/>
      <w:r/>
    </w:p>
    <w:p>
      <w:pPr>
        <w:pStyle w:val="622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Глава 7.1. НАЛОГОВЫЕ ЛЬГОТЫ, ОСНОВАНИЯ, ПОРЯДОК И УСЛОВИЯ</w:t>
      </w:r>
      <w:r>
        <w:rPr>
          <w:rFonts w:ascii="Times New Roman" w:hAnsi="Times New Roman" w:cs="Times New Roman"/>
        </w:rPr>
      </w:r>
    </w:p>
    <w:p>
      <w:pPr>
        <w:pStyle w:val="6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ПРИМЕНЕНИЯ СУБЪЕКТАМ ДЕЯТЕЛЬНОСТИ В СФЕРЕ ПРОМЫШЛЕННОСТИ</w:t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(введена Законом Новосибирской области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01.12.2016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100-ОЗ)</w:t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  <w:color w:val="ffffff" w:themeColor="background1"/>
          <w:highlight w:val="darkCyan"/>
        </w:rPr>
      </w:pPr>
      <w:r>
        <w:rPr>
          <w:rFonts w:ascii="Times New Roman" w:hAnsi="Times New Roman" w:cs="Times New Roman"/>
          <w:highlight w:val="yellow"/>
        </w:rPr>
        <w:t xml:space="preserve">с изменениями от 30 ноября 2017 года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green"/>
        </w:rPr>
        <w:t xml:space="preserve">от 02 ноября 2018 года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highlight w:val="cyan"/>
        </w:rPr>
        <w:t xml:space="preserve">от 10 ноября 2020 года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highlight w:val="magenta"/>
        </w:rPr>
        <w:t xml:space="preserve">от 02 ноября 2022 года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magenta"/>
        </w:rPr>
        <w:t xml:space="preserve">от 21 декабря 2022 года</w:t>
      </w:r>
      <w:r>
        <w:rPr>
          <w:rFonts w:ascii="Times New Roman" w:hAnsi="Times New Roman" w:cs="Times New Roman"/>
          <w:highlight w:val="none"/>
        </w:rPr>
        <w:t xml:space="preserve">; </w:t>
      </w:r>
      <w:r>
        <w:rPr>
          <w:rFonts w:ascii="Times New Roman" w:hAnsi="Times New Roman" w:cs="Times New Roman"/>
          <w:color w:val="ffffff" w:themeColor="background1"/>
          <w:highlight w:val="darkCyan"/>
        </w:rPr>
        <w:t xml:space="preserve">от 04 октября 2023 года</w:t>
      </w:r>
      <w:r>
        <w:rPr>
          <w:rFonts w:ascii="Times New Roman" w:hAnsi="Times New Roman" w:cs="Times New Roman"/>
          <w:color w:val="ffffff" w:themeColor="background1"/>
          <w:highlight w:val="darkCy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3"/>
      </w:pPr>
      <w:r/>
      <w:bookmarkStart w:id="0" w:name="P588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Статья 7.1.1.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главой устанавливаются налоговые льготы по налогу на имущество организаций, налогу на прибыль организаций, подлежащим зачислению в областной бюджет Новосибирской облас</w:t>
      </w:r>
      <w:r>
        <w:rPr>
          <w:rFonts w:ascii="Times New Roman" w:hAnsi="Times New Roman" w:cs="Times New Roman"/>
          <w:sz w:val="24"/>
          <w:szCs w:val="24"/>
        </w:rPr>
        <w:t xml:space="preserve">ти, основания, порядок и условия их применения субъектам деятельности в сфере промышленности, зарегистрированным в Новосибирской области и осуществляющим деятельность, относящуюся к виду экономической деятельности "обрабатывающие производства" Общероссийск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классификатор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ед. 2) (далее - промышленные предприятия).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3"/>
      </w:pPr>
      <w:r>
        <w:rPr>
          <w:rFonts w:ascii="Times New Roman" w:hAnsi="Times New Roman" w:cs="Times New Roman"/>
          <w:sz w:val="24"/>
          <w:szCs w:val="24"/>
        </w:rPr>
        <w:t xml:space="preserve">Статья 7.1.2. Налоговые льготы, основания, порядок и условия их применения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Промышленным предприятиям устанавливаются налоговые ставки по налогу на прибыль организаций в следующих размерах: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13,5% - для промышленных предприятий, участвующих в реализации проектов,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сводный</w:t>
      </w:r>
      <w:r>
        <w:rPr>
          <w:rFonts w:ascii="Times New Roman" w:hAnsi="Times New Roman" w:cs="Times New Roman"/>
          <w:sz w:val="24"/>
          <w:szCs w:val="24"/>
        </w:rPr>
        <w:t xml:space="preserve"> реестр проектов программы реиндустриализации экономики Новосибирской области до 2025 года, утвержденной постановлением Правительства Новосибирской области от 1 апреля 2016 года N 89-п, - на период реализации проекта;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14,5% - для промышленных предприятий, обеспечивших превышение налоговой базы отчетного (налогового) периода не менее чем в 1,3 раза по отношению к налоговой базе аналогичного периода предыдущего года, если выручка от вида деятельности,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 статье 7.1.1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Закона, составляет не менее 70 процентов от общей суммы выручки от реализации произведенной продукции (работ, услуг).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Налоговая ставка, установленная настоящим пунктом, применяется до 1 января 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Льгота по налогу на имущество организаций предоставляется по итогам налогового периода в виде уменьшения суммы налога на величину, которая соответствует сумме налога от прироста налоговой базы за налоговый период по отношению к налоговой базе предыдущего на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логового периода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Применение налоговых льгот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обеспечении прироста выручки нарастающим итогом с начала года не менее 10%. При определении прирос</w:t>
      </w:r>
      <w:r>
        <w:rPr>
          <w:rFonts w:ascii="Times New Roman" w:hAnsi="Times New Roman" w:cs="Times New Roman"/>
          <w:sz w:val="24"/>
          <w:szCs w:val="24"/>
        </w:rPr>
        <w:t xml:space="preserve">та выручки сравнивается выручка, отражаемая в отчете о финансовых результатах за I квартал текущего года, с выручкой, отражаемой в отчете о финансовых результатах за I квартал предыдущего года, аналогично сравнивается выручка за полугодие, 9 месяцев и год;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отсутствии</w:t>
      </w:r>
      <w:r>
        <w:rPr>
          <w:rFonts w:ascii="Times New Roman" w:hAnsi="Times New Roman" w:cs="Times New Roman"/>
          <w:sz w:val="24"/>
          <w:szCs w:val="24"/>
        </w:rPr>
        <w:t xml:space="preserve"> недоимки по: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страховым взносам 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Фонд пенсионного и социального страхования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Федеральный </w:t>
      </w:r>
      <w:r>
        <w:rPr>
          <w:rFonts w:ascii="Times New Roman" w:hAnsi="Times New Roman" w:cs="Times New Roman"/>
          <w:sz w:val="24"/>
          <w:szCs w:val="24"/>
        </w:rPr>
        <w:t xml:space="preserve">фонд обязательного медицинского страхования и Территориальный фонд обязательного медицинского страхования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обеспечении уровня рентабельности реализованной продукции, определяемого как отношение прибыли от продаж к себестоимости продаж за отчетный (налоговый) период, не ниже 5%;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4) 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предоставлении в областной исполнительный орган государственной власти Новосибирской области, уполномоченный в сфере промышленной политики в Новосибирской области, при применении налоговой льготы по налогу на прибыль организаций - ежеквартально до 12 числа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второго месяца, следующего за отчетным периодом (1 квартал, полугодие, 9 месяцев отчетного года), и до 12 апреля по итогам года; при применении налоговой льготы по налогу на имущество организаций - до 12 апреля года, следующего за окончанием налогового пери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ода, следующих документов:</w: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отчета о финансовых результатах за отчетный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налоговый) </w:t>
      </w:r>
      <w:r>
        <w:rPr>
          <w:rFonts w:ascii="Times New Roman" w:hAnsi="Times New Roman" w:cs="Times New Roman"/>
          <w:sz w:val="24"/>
          <w:szCs w:val="24"/>
        </w:rPr>
        <w:t xml:space="preserve">период;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агента. Дата формирования справки должна быть не ра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нее последнего календарного дня последнего отчетного (налогового) периода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промышленном предприятии (наименование организации, район, почтовый адрес, телефоны руководителя и главного бухгалтера) в случае первого получения налоговых льгот в отчетном году;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налоговых деклараций</w:t>
      </w:r>
      <w:r>
        <w:rPr>
          <w:rFonts w:ascii="Times New Roman" w:hAnsi="Times New Roman" w:cs="Times New Roman"/>
          <w:sz w:val="24"/>
          <w:szCs w:val="24"/>
        </w:rPr>
        <w:t xml:space="preserve"> за отчетный (налоговый) период, в которых заявлены налоговые льготы, с отметкой налоговых органов, а также налоговых деклараций за аналогичный период предыдущего года с </w:t>
      </w:r>
      <w:r>
        <w:rPr>
          <w:rFonts w:ascii="Times New Roman" w:hAnsi="Times New Roman" w:cs="Times New Roman"/>
          <w:sz w:val="24"/>
          <w:szCs w:val="24"/>
        </w:rPr>
        <w:t xml:space="preserve">отметкой налоговых органов;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 xml:space="preserve">о выручке от реализации произведенной продукции (работ, услуг) по виду экономической деятельности, указанному в статье 7.1.1 настоящего Закона, за отчетный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налоговый</w:t>
      </w:r>
      <w:r>
        <w:rPr>
          <w:rFonts w:ascii="Times New Roman" w:hAnsi="Times New Roman" w:cs="Times New Roman"/>
          <w:sz w:val="24"/>
          <w:szCs w:val="24"/>
        </w:rPr>
        <w:t xml:space="preserve">) период, обосновывающих применение налоговой ставки по налогу на прибыль организаций в размере 14,5%;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пояснительной записки о ходе реализации проекта в случае реализации проекта, включенного в</w:t>
      </w:r>
      <w:r>
        <w:rPr>
          <w:rFonts w:ascii="Times New Roman" w:hAnsi="Times New Roman" w:cs="Times New Roman"/>
          <w:sz w:val="24"/>
          <w:szCs w:val="24"/>
        </w:rPr>
        <w:t xml:space="preserve"> сводный</w:t>
      </w:r>
      <w:r>
        <w:rPr>
          <w:rFonts w:ascii="Times New Roman" w:hAnsi="Times New Roman" w:cs="Times New Roman"/>
          <w:sz w:val="24"/>
          <w:szCs w:val="24"/>
        </w:rPr>
        <w:t xml:space="preserve"> реестр проектов программы реиндустриализации экономики Новосибирской области до 2025 года, утвержденной постановлением Правительства Новосибирской области 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от 1 апреля 2016 года N 89-п.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 применения налоговых льгот возникает у промышленного предприятия не ранее чем со второго календарного года его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5. 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Областной исполнительный орган государственной власти Новосибирской области, уполномоченный в сфере промышленной политики в Новосибирской области, передает данные о налогоплательщиках, соответствующих основаниям и условиям для применения налоговых льгот, ус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тановленным настоящей главой, в Управление Федеральной налоговой службы по Новосибирской области до 20 числа второго месяца, следующего за отчетным периодом (1 квартал, полугодие, 9 месяцев отчетного года), по итогам года - до 20 апреля следующего года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Промышленные предприятия, не представившие в областной исполнительный</w:t>
      </w:r>
      <w:r>
        <w:rPr>
          <w:rFonts w:ascii="Times New Roman" w:hAnsi="Times New Roman" w:cs="Times New Roman"/>
          <w:sz w:val="24"/>
          <w:szCs w:val="24"/>
        </w:rPr>
        <w:t xml:space="preserve"> орган государственной власти Новосибирской области, уполномоченный в сфере промышленной политики в Новосибирской области, информацию, предусмотренную настоящей статьей, либо представившие искаженную информацию, право на получение налоговых льгот не имеют.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5CB0A9-CE85-4E38-8DB4-80F476C5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Елена Борисовна</dc:creator>
  <cp:revision>4</cp:revision>
  <dcterms:created xsi:type="dcterms:W3CDTF">2023-01-10T07:58:00Z</dcterms:created>
  <dcterms:modified xsi:type="dcterms:W3CDTF">2023-11-01T09:42:46Z</dcterms:modified>
</cp:coreProperties>
</file>