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5E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                                                                                                             № 54/1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промышленности, торговли и развития предпринимательства Новосибирской области от 19.12.2016 № 311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   в    Новосибирской    области    на   2015-2020   годы» 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25E">
        <w:rPr>
          <w:rFonts w:ascii="Times New Roman" w:eastAsia="Calibri" w:hAnsi="Times New Roman" w:cs="Times New Roman"/>
          <w:b/>
          <w:sz w:val="28"/>
          <w:szCs w:val="28"/>
        </w:rPr>
        <w:t>п р и к а з ы в а ю</w:t>
      </w:r>
      <w:r w:rsidRPr="000102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Внести в приказ министерства промышленности, торговли и развития предпринимательства Новосибирской области </w:t>
      </w:r>
      <w:r w:rsidRPr="0001025E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19.12.2016 № 311</w:t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2017 год и плановый период 2018 и 2019 годов» следующие изменения: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2017 год и плановый период 2018 и 2019 годов: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>1. Таблицу № 1 изложить в редакции согласно приложению № 1 к настоящему приказу.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>2. В таблице № 2:</w:t>
      </w:r>
    </w:p>
    <w:p w:rsidR="0001025E" w:rsidRPr="0001025E" w:rsidRDefault="0001025E" w:rsidP="00010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>наименование дополнить словами «</w:t>
      </w:r>
      <w:r w:rsidRPr="00010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2017 год и плановый период 2018 и 2019 годов»;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1025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01025E">
        <w:rPr>
          <w:rFonts w:ascii="Times New Roman" w:eastAsia="Calibri" w:hAnsi="Times New Roman" w:cs="Times New Roman"/>
          <w:sz w:val="28"/>
          <w:szCs w:val="28"/>
        </w:rPr>
        <w:t>троке «Темп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поддержку, в % к предыдущему году» столбец 4 изложить в редакции: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>«Плановое значение определяется с учетом: стратегических документов развития Российской Федерации и Новосибирской области, динамики аналогичного показателя за предыдущие 2 года, запланированных объемов и условий предоставления государственной поддержки в рамках подпрограммы «Техническое перевооружение промышленности Новосибирской области».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Фактическое значение определяется по формуле: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7DDA7" wp14:editId="6ADF2DED">
            <wp:extent cx="2243455" cy="27622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1CA46" wp14:editId="6CE98591">
            <wp:extent cx="414655" cy="2762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 в рамках подпрограммы 1, в % к предыдущему году;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5F6F9" wp14:editId="40D08C7E">
            <wp:extent cx="233680" cy="266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мероприятий подпрограммы 1, в году предоставления государственной поддержки (в отчетном году), тыс. рублей/чел.;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A960B" wp14:editId="7A4AD66B">
            <wp:extent cx="1350645" cy="266065"/>
            <wp:effectExtent l="0" t="0" r="190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0D071" wp14:editId="34194569">
            <wp:extent cx="233680" cy="2660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суммарная выручка по кругу промышленных организаций, получивших государственную поддержку в рамках реализации мероприятий подпрограммы 1, в году предоставления государственной поддержки (в отчетном году), тыс. рублей;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89620" wp14:editId="3AF42051">
            <wp:extent cx="233680" cy="2660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суммарная средняя численность работающих по кругу промышленных организаций, получивших государственную поддержку в рамках реализации мероприятий подпрограммы 1, в году предоставления государственной поддержки (в отчетном году), чел.;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8A356" wp14:editId="0EEEE0E7">
            <wp:extent cx="266065" cy="26606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тыс. рублей/чел.;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6BC68" wp14:editId="37E6CE5A">
            <wp:extent cx="1414145" cy="2660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7342E" wp14:editId="59E98840">
            <wp:extent cx="233680" cy="2660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суммарная выручка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тыс. рублей;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CDA49" wp14:editId="40EF16F5">
            <wp:extent cx="233680" cy="2660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 - суммарная средняя численность работающих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чел.».</w:t>
      </w:r>
    </w:p>
    <w:p w:rsidR="0001025E" w:rsidRPr="0001025E" w:rsidRDefault="0001025E" w:rsidP="00010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25E">
        <w:rPr>
          <w:rFonts w:ascii="Times New Roman" w:eastAsia="Calibri" w:hAnsi="Times New Roman" w:cs="Times New Roman"/>
          <w:sz w:val="28"/>
          <w:szCs w:val="28"/>
        </w:rPr>
        <w:t xml:space="preserve">3. Таблицу № 3 изложить в редакции согласно приложению № 2 к настоящему приказу.  </w:t>
      </w:r>
    </w:p>
    <w:p w:rsidR="0001025E" w:rsidRPr="0001025E" w:rsidRDefault="0001025E" w:rsidP="000102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5E" w:rsidRPr="0001025E" w:rsidRDefault="0001025E" w:rsidP="0001025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10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  <w:bookmarkStart w:id="0" w:name="_GoBack"/>
      <w:bookmarkEnd w:id="0"/>
    </w:p>
    <w:p w:rsidR="0001025E" w:rsidRDefault="0001025E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  <w:sectPr w:rsidR="0001025E" w:rsidSect="0001025E">
          <w:footerReference w:type="default" r:id="rId18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0A3886" w:rsidRPr="00C73163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Pr="00C73163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0A3886" w:rsidRPr="00AA223D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от</w:t>
      </w:r>
      <w:r w:rsidR="006E5B1A" w:rsidRPr="00AA2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B1A" w:rsidRPr="006E5B1A">
        <w:rPr>
          <w:rFonts w:ascii="Times New Roman" w:eastAsia="Calibri" w:hAnsi="Times New Roman" w:cs="Times New Roman"/>
          <w:sz w:val="28"/>
          <w:szCs w:val="28"/>
        </w:rPr>
        <w:t>2</w:t>
      </w:r>
      <w:r w:rsidR="006E5B1A" w:rsidRPr="00AA223D">
        <w:rPr>
          <w:rFonts w:ascii="Times New Roman" w:eastAsia="Calibri" w:hAnsi="Times New Roman" w:cs="Times New Roman"/>
          <w:sz w:val="28"/>
          <w:szCs w:val="28"/>
        </w:rPr>
        <w:t>8</w:t>
      </w:r>
      <w:r w:rsidRPr="00F5432E">
        <w:rPr>
          <w:rFonts w:ascii="Times New Roman" w:eastAsia="Calibri" w:hAnsi="Times New Roman" w:cs="Times New Roman"/>
          <w:sz w:val="28"/>
          <w:szCs w:val="28"/>
        </w:rPr>
        <w:t>.</w:t>
      </w:r>
      <w:r w:rsidR="006E5B1A" w:rsidRPr="00AA223D">
        <w:rPr>
          <w:rFonts w:ascii="Times New Roman" w:eastAsia="Calibri" w:hAnsi="Times New Roman" w:cs="Times New Roman"/>
          <w:sz w:val="28"/>
          <w:szCs w:val="28"/>
        </w:rPr>
        <w:t>02</w:t>
      </w:r>
      <w:r w:rsidRPr="00F5432E">
        <w:rPr>
          <w:rFonts w:ascii="Times New Roman" w:eastAsia="Calibri" w:hAnsi="Times New Roman" w:cs="Times New Roman"/>
          <w:sz w:val="28"/>
          <w:szCs w:val="28"/>
        </w:rPr>
        <w:t>.201</w:t>
      </w:r>
      <w:r w:rsidR="006E5B1A" w:rsidRPr="00AA223D">
        <w:rPr>
          <w:rFonts w:ascii="Times New Roman" w:eastAsia="Calibri" w:hAnsi="Times New Roman" w:cs="Times New Roman"/>
          <w:sz w:val="28"/>
          <w:szCs w:val="28"/>
        </w:rPr>
        <w:t>8</w:t>
      </w:r>
      <w:r w:rsidR="000B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32E">
        <w:rPr>
          <w:rFonts w:ascii="Times New Roman" w:eastAsia="Calibri" w:hAnsi="Times New Roman" w:cs="Times New Roman"/>
          <w:sz w:val="28"/>
          <w:szCs w:val="28"/>
        </w:rPr>
        <w:t>№</w:t>
      </w:r>
      <w:r w:rsidR="006E5B1A" w:rsidRPr="00AA223D">
        <w:rPr>
          <w:rFonts w:ascii="Times New Roman" w:eastAsia="Calibri" w:hAnsi="Times New Roman" w:cs="Times New Roman"/>
          <w:sz w:val="28"/>
          <w:szCs w:val="28"/>
        </w:rPr>
        <w:t xml:space="preserve"> 54/1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112" w:rsidRPr="0031530D" w:rsidRDefault="004F4112" w:rsidP="002F5D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2B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35296" w:rsidRPr="00135296" w:rsidRDefault="0031530D" w:rsidP="00135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5296" w:rsidRPr="00135296"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135296" w:rsidRPr="00135296" w:rsidRDefault="00135296" w:rsidP="00135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96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</w:p>
    <w:p w:rsidR="00135296" w:rsidRPr="00135296" w:rsidRDefault="00135296" w:rsidP="00135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96">
        <w:rPr>
          <w:rFonts w:ascii="Times New Roman" w:hAnsi="Times New Roman"/>
          <w:sz w:val="28"/>
          <w:szCs w:val="28"/>
        </w:rPr>
        <w:t>на очередной 2017 год и плановый период 2018 и 2019 годов</w:t>
      </w:r>
    </w:p>
    <w:p w:rsidR="00135296" w:rsidRPr="00135296" w:rsidRDefault="00135296" w:rsidP="00135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96">
        <w:rPr>
          <w:rFonts w:ascii="Times New Roman" w:hAnsi="Times New Roman"/>
          <w:sz w:val="28"/>
          <w:szCs w:val="28"/>
        </w:rPr>
        <w:t>(на основании государственной программы в редакции Постановления Правительства Новосибирской области</w:t>
      </w:r>
    </w:p>
    <w:p w:rsidR="00135296" w:rsidRPr="00135296" w:rsidRDefault="00135296" w:rsidP="00135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96">
        <w:rPr>
          <w:rFonts w:ascii="Times New Roman" w:hAnsi="Times New Roman"/>
          <w:sz w:val="28"/>
          <w:szCs w:val="28"/>
        </w:rPr>
        <w:t>от 27.02.2018  № 74-п)</w:t>
      </w:r>
    </w:p>
    <w:p w:rsidR="00135296" w:rsidRPr="0031530D" w:rsidRDefault="00135296" w:rsidP="001352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1530D" w:rsidRPr="004F4112" w:rsidRDefault="0031530D" w:rsidP="0031530D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4112" w:rsidRPr="00DC720F"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135296" w:rsidRPr="00135296" w:rsidRDefault="00135296" w:rsidP="0013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</w:t>
      </w:r>
    </w:p>
    <w:p w:rsidR="00135296" w:rsidRPr="00135296" w:rsidRDefault="00135296" w:rsidP="0013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</w:t>
      </w:r>
    </w:p>
    <w:p w:rsidR="0031530D" w:rsidRDefault="00135296" w:rsidP="00B5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2017 год и плановый период 2018 и 2019 годов</w:t>
      </w:r>
    </w:p>
    <w:p w:rsidR="00B50954" w:rsidRPr="00135296" w:rsidRDefault="00B50954" w:rsidP="00B50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2"/>
        <w:gridCol w:w="2409"/>
        <w:gridCol w:w="139"/>
        <w:gridCol w:w="995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F04A94" w:rsidTr="00152B6B">
        <w:trPr>
          <w:cantSplit/>
          <w:trHeight w:val="678"/>
        </w:trPr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требующие решения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цели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58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F4112" w:rsidRPr="00F04A94" w:rsidTr="00152B6B">
        <w:trPr>
          <w:cantSplit/>
          <w:trHeight w:val="896"/>
        </w:trPr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4112" w:rsidRPr="006C07D9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201</w:t>
            </w:r>
            <w:r w:rsidR="00723D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723D57" w:rsidRPr="0072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в том числе поквартально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13C3B"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5A04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год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152B6B">
        <w:trPr>
          <w:cantSplit/>
          <w:trHeight w:val="569"/>
        </w:trPr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152B6B">
        <w:trPr>
          <w:cantSplit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112" w:rsidRPr="00F04A94" w:rsidTr="00152B6B">
        <w:trPr>
          <w:cantSplit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Государственная программа Новосибирской области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промышленности и повышение её конкурентоспособности в Новосибирской области на 2015-2020 годы»</w:t>
            </w:r>
          </w:p>
        </w:tc>
      </w:tr>
      <w:tr w:rsidR="00CE3A34" w:rsidRPr="00F04A94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F04A94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Цель 1: </w:t>
            </w:r>
          </w:p>
          <w:p w:rsidR="00CE3A34" w:rsidRPr="00F04A94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создание условий для развития промышленного потенциала, повышения конкурентоспособности промышленных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области, расширения производства наукоёмкой продукции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F04A94" w:rsidRDefault="00CE3A34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F04A94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CA641B" w:rsidRDefault="00CE3A34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100</w:t>
            </w: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76570F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6D434E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A407F2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A407F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C73163" w:rsidRDefault="00CE3A34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199B" w:rsidRPr="00E1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:rsidR="00CE3A34" w:rsidRPr="00CA641B" w:rsidRDefault="00CE3A34" w:rsidP="00CE3A3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64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102,2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F04A94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Задача 1: </w:t>
            </w:r>
          </w:p>
          <w:p w:rsidR="00CE3A34" w:rsidRPr="0076570F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6570F">
              <w:rPr>
                <w:rFonts w:ascii="Times New Roman" w:hAnsi="Times New Roman"/>
                <w:bCs/>
              </w:rPr>
              <w:t>108,0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2: </w:t>
            </w:r>
          </w:p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CE3A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34" w:rsidRPr="0076570F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CE3A34" w:rsidRPr="0076570F" w:rsidRDefault="00CE3A34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организаций медицинской промышленности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CE3A34" w:rsidRPr="0076570F" w:rsidRDefault="00CE3A34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Del="00F03B53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3A34" w:rsidRPr="0076570F" w:rsidRDefault="00CE3A34" w:rsidP="004405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70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A34" w:rsidRPr="0076570F" w:rsidRDefault="00CE3A3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76570F" w:rsidTr="00152B6B">
        <w:trPr>
          <w:cantSplit/>
          <w:trHeight w:val="304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76570F">
              <w:rPr>
                <w:rFonts w:ascii="Calibri" w:eastAsia="Calibri" w:hAnsi="Calibri" w:cs="Times New Roman"/>
              </w:rPr>
              <w:br w:type="page"/>
            </w: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723D57" w:rsidRPr="0076570F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Задача 1 подпрограммы 1:</w:t>
            </w:r>
          </w:p>
          <w:p w:rsidR="00723D57" w:rsidRPr="0076570F" w:rsidRDefault="00723D57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8E3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7" w:rsidRPr="0076570F" w:rsidTr="00152B6B">
        <w:trPr>
          <w:cantSplit/>
          <w:trHeight w:val="139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2 подпрограммы 1:</w:t>
            </w:r>
          </w:p>
          <w:p w:rsidR="00723D57" w:rsidRPr="0076570F" w:rsidRDefault="00723D57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76570F" w:rsidTr="00152B6B">
        <w:trPr>
          <w:cantSplit/>
          <w:trHeight w:val="200"/>
        </w:trPr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76570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2 «</w:t>
            </w: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области»</w:t>
            </w:r>
          </w:p>
        </w:tc>
      </w:tr>
      <w:tr w:rsidR="00723D57" w:rsidRPr="0076570F" w:rsidTr="00152B6B">
        <w:trPr>
          <w:cantSplit/>
          <w:trHeight w:val="129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2:</w:t>
            </w:r>
          </w:p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нанотехнологий,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723D57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E8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D57" w:rsidRPr="0076570F" w:rsidTr="00152B6B">
        <w:trPr>
          <w:cantSplit/>
          <w:trHeight w:val="23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Задача 2 подпрограммы 2:</w:t>
            </w:r>
          </w:p>
          <w:p w:rsidR="00723D57" w:rsidRPr="0076570F" w:rsidRDefault="00723D57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D57" w:rsidRPr="0076570F" w:rsidRDefault="00723D57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31530D" w:rsidRPr="0076570F" w:rsidRDefault="00723D57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CA641B" w:rsidRDefault="00723D57" w:rsidP="004405C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A64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CA641B" w:rsidRDefault="00723D57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64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D57" w:rsidRPr="0076570F" w:rsidRDefault="00723D57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30D" w:rsidRPr="0076570F" w:rsidTr="00152B6B">
        <w:trPr>
          <w:cantSplit/>
          <w:trHeight w:val="209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3 «</w:t>
            </w:r>
            <w:r w:rsidRPr="0076570F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Развитие медицинской промышленности Новосибирской области</w:t>
            </w:r>
            <w:r w:rsidRPr="0076570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1530D" w:rsidRPr="0076570F" w:rsidTr="00152B6B">
        <w:trPr>
          <w:cantSplit/>
          <w:trHeight w:val="10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530D" w:rsidRPr="0031530D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53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3:</w:t>
            </w:r>
          </w:p>
          <w:p w:rsidR="0031530D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53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технологий, проведенных организациями медицинской промышленности Новосибирской области в рамках реализации подпрограммы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30D" w:rsidRPr="0076570F" w:rsidTr="00152B6B">
        <w:trPr>
          <w:cantSplit/>
          <w:trHeight w:val="2093"/>
        </w:trPr>
        <w:tc>
          <w:tcPr>
            <w:tcW w:w="3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образцов продукции медицинских изделий, лекарственных средств и медицинских технологий, готовых к обязательным видам испытаний в рамках реализации подпрограммы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30D" w:rsidRPr="0076570F" w:rsidTr="00152B6B">
        <w:trPr>
          <w:cantSplit/>
          <w:trHeight w:val="218"/>
        </w:trPr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Pr="0076570F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Задача 2 подпрограммы 3:</w:t>
            </w:r>
          </w:p>
          <w:p w:rsidR="0031530D" w:rsidRPr="0076570F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инфраструктуры медицинской промышленности в Новосибирской области</w:t>
            </w:r>
          </w:p>
          <w:p w:rsidR="0031530D" w:rsidRPr="0076570F" w:rsidRDefault="0031530D" w:rsidP="0031530D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31530D" w:rsidRPr="0076570F" w:rsidRDefault="0031530D" w:rsidP="0031530D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реализации подпрограммы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30D" w:rsidRPr="0076570F" w:rsidRDefault="0031530D" w:rsidP="0031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530D" w:rsidRPr="0031530D" w:rsidRDefault="0031530D" w:rsidP="0031530D">
      <w:pPr>
        <w:tabs>
          <w:tab w:val="right" w:pos="15168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530D">
        <w:rPr>
          <w:rFonts w:ascii="Times New Roman" w:eastAsia="Calibri" w:hAnsi="Times New Roman" w:cs="Times New Roman"/>
          <w:sz w:val="28"/>
          <w:szCs w:val="28"/>
        </w:rPr>
        <w:t xml:space="preserve">       »</w:t>
      </w:r>
    </w:p>
    <w:p w:rsidR="004F4112" w:rsidRDefault="004F4112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Default="0031530D" w:rsidP="0031530D">
      <w:pPr>
        <w:tabs>
          <w:tab w:val="right" w:pos="15168"/>
        </w:tabs>
        <w:rPr>
          <w:rFonts w:ascii="Calibri" w:eastAsia="Calibri" w:hAnsi="Calibri" w:cs="Times New Roman"/>
        </w:rPr>
      </w:pPr>
    </w:p>
    <w:p w:rsidR="0031530D" w:rsidRPr="0076570F" w:rsidRDefault="0031530D" w:rsidP="0031530D">
      <w:pPr>
        <w:tabs>
          <w:tab w:val="right" w:pos="15168"/>
        </w:tabs>
        <w:rPr>
          <w:rFonts w:ascii="Calibri" w:eastAsia="Calibri" w:hAnsi="Calibri" w:cs="Times New Roman"/>
          <w:sz w:val="2"/>
          <w:szCs w:val="2"/>
        </w:rPr>
      </w:pPr>
    </w:p>
    <w:p w:rsidR="000A3886" w:rsidRPr="00450C7E" w:rsidRDefault="00E43CC9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A22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0A3886" w:rsidRPr="00F5432E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0A3886" w:rsidRPr="00450C7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0A3886" w:rsidRPr="00F5432E" w:rsidRDefault="000A3886" w:rsidP="000A3886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>от</w:t>
      </w:r>
      <w:r w:rsidR="00AA223D" w:rsidRPr="00010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23D" w:rsidRPr="00AA223D">
        <w:rPr>
          <w:rFonts w:ascii="Times New Roman" w:eastAsia="Calibri" w:hAnsi="Times New Roman" w:cs="Times New Roman"/>
          <w:sz w:val="28"/>
          <w:szCs w:val="28"/>
        </w:rPr>
        <w:t>2</w:t>
      </w:r>
      <w:r w:rsidR="00AA223D" w:rsidRPr="0001025E">
        <w:rPr>
          <w:rFonts w:ascii="Times New Roman" w:eastAsia="Calibri" w:hAnsi="Times New Roman" w:cs="Times New Roman"/>
          <w:sz w:val="28"/>
          <w:szCs w:val="28"/>
        </w:rPr>
        <w:t>8</w:t>
      </w:r>
      <w:r w:rsidR="00AA223D" w:rsidRPr="00AA223D">
        <w:rPr>
          <w:rFonts w:ascii="Times New Roman" w:eastAsia="Calibri" w:hAnsi="Times New Roman" w:cs="Times New Roman"/>
          <w:sz w:val="28"/>
          <w:szCs w:val="28"/>
        </w:rPr>
        <w:t>.</w:t>
      </w:r>
      <w:r w:rsidR="00AA223D" w:rsidRPr="0001025E">
        <w:rPr>
          <w:rFonts w:ascii="Times New Roman" w:eastAsia="Calibri" w:hAnsi="Times New Roman" w:cs="Times New Roman"/>
          <w:sz w:val="28"/>
          <w:szCs w:val="28"/>
        </w:rPr>
        <w:t>02</w:t>
      </w:r>
      <w:r w:rsidR="00AA223D" w:rsidRPr="00AA223D">
        <w:rPr>
          <w:rFonts w:ascii="Times New Roman" w:eastAsia="Calibri" w:hAnsi="Times New Roman" w:cs="Times New Roman"/>
          <w:sz w:val="28"/>
          <w:szCs w:val="28"/>
        </w:rPr>
        <w:t>.201</w:t>
      </w:r>
      <w:r w:rsidR="00AA223D" w:rsidRPr="0001025E">
        <w:rPr>
          <w:rFonts w:ascii="Times New Roman" w:eastAsia="Calibri" w:hAnsi="Times New Roman" w:cs="Times New Roman"/>
          <w:sz w:val="28"/>
          <w:szCs w:val="28"/>
        </w:rPr>
        <w:t>8</w:t>
      </w:r>
      <w:r w:rsidR="00AA223D" w:rsidRPr="00AA223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A223D" w:rsidRPr="0001025E">
        <w:rPr>
          <w:rFonts w:ascii="Times New Roman" w:eastAsia="Calibri" w:hAnsi="Times New Roman" w:cs="Times New Roman"/>
          <w:sz w:val="28"/>
          <w:szCs w:val="28"/>
        </w:rPr>
        <w:t xml:space="preserve"> 54/1</w:t>
      </w:r>
    </w:p>
    <w:p w:rsidR="00E43CC9" w:rsidRPr="00C73163" w:rsidRDefault="000A3886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4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2296" w:rsidRPr="000B1C2C" w:rsidRDefault="00472296" w:rsidP="004722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72296" w:rsidRPr="00DC720F" w:rsidRDefault="000B1C2C" w:rsidP="0047229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C720F">
        <w:rPr>
          <w:rFonts w:ascii="Times New Roman" w:eastAsia="Calibri" w:hAnsi="Times New Roman" w:cs="Times New Roman"/>
          <w:sz w:val="28"/>
          <w:szCs w:val="28"/>
        </w:rPr>
        <w:t>«</w:t>
      </w:r>
      <w:r w:rsidR="00472296" w:rsidRPr="00DC720F"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Pr="00DC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296" w:rsidRPr="00DC720F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43CC9" w:rsidRPr="000B1C2C" w:rsidRDefault="00E43CC9" w:rsidP="00E43C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C6123" w:rsidRPr="000C6123" w:rsidRDefault="000C6123" w:rsidP="000C6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перечень планируемых к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</w:t>
      </w:r>
    </w:p>
    <w:p w:rsidR="000C6123" w:rsidRPr="000C6123" w:rsidRDefault="000C6123" w:rsidP="000C6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2017 год и плановый период 2018 и 2019 годов</w:t>
      </w:r>
    </w:p>
    <w:p w:rsidR="00E43CC9" w:rsidRPr="004405CF" w:rsidRDefault="00E43CC9" w:rsidP="00E4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C9" w:rsidRPr="004405CF" w:rsidRDefault="00E43CC9" w:rsidP="00E4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1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2"/>
        <w:gridCol w:w="1782"/>
        <w:gridCol w:w="628"/>
        <w:gridCol w:w="709"/>
        <w:gridCol w:w="709"/>
        <w:gridCol w:w="141"/>
        <w:gridCol w:w="567"/>
        <w:gridCol w:w="993"/>
        <w:gridCol w:w="141"/>
        <w:gridCol w:w="709"/>
        <w:gridCol w:w="567"/>
        <w:gridCol w:w="708"/>
        <w:gridCol w:w="993"/>
        <w:gridCol w:w="1134"/>
        <w:gridCol w:w="993"/>
        <w:gridCol w:w="992"/>
        <w:gridCol w:w="1843"/>
      </w:tblGrid>
      <w:tr w:rsidR="00D70F25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показате-ля на 201</w:t>
            </w:r>
            <w:r w:rsidR="00723D57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72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201</w:t>
            </w:r>
            <w:r w:rsidR="00723D57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201</w:t>
            </w:r>
            <w:r w:rsidR="005A04F4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5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</w:t>
            </w:r>
            <w:r w:rsidR="005A04F4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blCellSpacing w:w="5" w:type="nil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наукоёмкой продукции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 Задача 1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производственно-технологического потенциала промышленных организаций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 Цель подпрограммы 1: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</w:t>
            </w:r>
            <w:r w:rsidRPr="0076570F" w:rsidDel="009B3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1.1.1.1.1.Задача 1.1 подпрограммы 1: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</w:tr>
      <w:tr w:rsidR="00332C9A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1.1.1.1.1.1. </w:t>
            </w:r>
          </w:p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Предоставление субсидий  на возмещение части затрат на приобретенное новое основное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оборудование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единиц нового основного технологического оборудования, приобретенного промышленными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организациями в рамках реализации мероприятий подпрограммы, ед.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нового основного технологического оборудования, приобретенного промышленными организациями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составит не менее 7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332C9A" w:rsidRPr="0076570F" w:rsidRDefault="00332C9A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5</w:t>
            </w:r>
            <w:r w:rsidR="00E1199B"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000,0</w:t>
            </w:r>
            <w:r w:rsidRPr="00E11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32C9A" w:rsidRPr="0076570F" w:rsidTr="00E43CC9">
        <w:trPr>
          <w:trHeight w:val="376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54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265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41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9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453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9A" w:rsidRPr="0076570F" w:rsidTr="00E43CC9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E43CC9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1.1.1.1.2. Задача 1.2.: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332C9A" w:rsidRPr="0076570F" w:rsidTr="00E43CC9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1.1.1.1.1.2. Предоставление субсидий на возмещение части затрат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9A" w:rsidRPr="0076570F" w:rsidRDefault="00332C9A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мероприятий подпрограммы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A" w:rsidRPr="0076570F" w:rsidRDefault="00332C9A" w:rsidP="00D70F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составит не менее 1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332C9A" w:rsidRPr="0076570F" w:rsidRDefault="00332C9A" w:rsidP="00E1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вложений на проведение опытно-конструкторских и технологических работ при государственной поддержке в рамках реализации мероприятий подпрограммы не 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менее 1</w:t>
            </w:r>
            <w:r w:rsidR="00E1199B"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45D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0 000,0</w:t>
            </w:r>
            <w:r w:rsidRPr="00E11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70F25" w:rsidRPr="0076570F" w:rsidTr="00E43CC9">
        <w:trPr>
          <w:trHeight w:val="151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54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05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5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73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6A8E" w:rsidRPr="0076570F" w:rsidTr="00E43CC9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E43CC9">
        <w:trPr>
          <w:trHeight w:val="273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1348D2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67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E43CC9">
        <w:trPr>
          <w:trHeight w:val="418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227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E43CC9">
        <w:trPr>
          <w:trHeight w:val="36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76570F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76570F">
        <w:rPr>
          <w:rFonts w:ascii="Calibri" w:eastAsia="Calibri" w:hAnsi="Calibri" w:cs="Times New Roman"/>
        </w:rPr>
        <w:br w:type="page"/>
      </w:r>
    </w:p>
    <w:tbl>
      <w:tblPr>
        <w:tblW w:w="15170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3"/>
        <w:gridCol w:w="1783"/>
        <w:gridCol w:w="629"/>
        <w:gridCol w:w="709"/>
        <w:gridCol w:w="850"/>
        <w:gridCol w:w="567"/>
        <w:gridCol w:w="1134"/>
        <w:gridCol w:w="567"/>
        <w:gridCol w:w="990"/>
        <w:gridCol w:w="567"/>
        <w:gridCol w:w="850"/>
        <w:gridCol w:w="1134"/>
        <w:gridCol w:w="1134"/>
        <w:gridCol w:w="1134"/>
        <w:gridCol w:w="1559"/>
      </w:tblGrid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 Задача 2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исследований и разработок, обеспечивающих создание новых материалов, технологий и высокотехнологичной продукции в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 «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 Цель подпрограммы 2: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1.2.1.1.1. Задача 1.1 подпрограммы 2: формирование организационных и финансовых условий для проведения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комплекса исследовательских, экспериментальных работ по созданию новых материалов, технологий, в том числе нанотехнологий,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1.2.1.1.1.1. Предоставление субсидий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 центрам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проведение комплекса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1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не менее </w:t>
            </w:r>
            <w:r w:rsidR="001348D2"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новых материалов, технологий, опытных образцов инновационной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8E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44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A8E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1.2.1.1.2.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1.2 подпрограммы 2: развитие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научно-исследовательской и опытно-экспериментальной базы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научно-производственных центров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обеспечивающей 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1.2.1.1.1.2.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научно-производственным центрам на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7657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6 ед. специального исследовательского, опытно-экспериментального оборудования и приборов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E9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76570F">
        <w:trPr>
          <w:trHeight w:val="77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316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783"/>
        <w:gridCol w:w="629"/>
        <w:gridCol w:w="709"/>
        <w:gridCol w:w="850"/>
        <w:gridCol w:w="567"/>
        <w:gridCol w:w="1134"/>
        <w:gridCol w:w="567"/>
        <w:gridCol w:w="990"/>
        <w:gridCol w:w="848"/>
        <w:gridCol w:w="145"/>
        <w:gridCol w:w="992"/>
        <w:gridCol w:w="1134"/>
        <w:gridCol w:w="1134"/>
        <w:gridCol w:w="848"/>
        <w:gridCol w:w="1566"/>
      </w:tblGrid>
      <w:tr w:rsidR="00D70F25" w:rsidRPr="0076570F" w:rsidTr="00D70F25">
        <w:trPr>
          <w:trHeight w:val="455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 Задача 3 государственной программы: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создание условий для развития медицинской промышленности Новосибирской области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 Цель подпрограммы 3: </w:t>
            </w:r>
            <w:r w:rsidRPr="007657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для развития медицинской промышленности на территории Новосибирской области.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1.3.1.1.1.1. Предоставление субсидий организациям медицинской промышленности на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доклинических (в том числе технических и/или токсикологических) и/или клинических испытаний/исследований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>, проведенных организациями медицинской промышленности Новосибирской области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3745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3745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3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</w:t>
            </w:r>
            <w:r w:rsidRPr="0076570F">
              <w:rPr>
                <w:rFonts w:ascii="Calibri" w:eastAsia="Calibri" w:hAnsi="Calibri" w:cs="Times New Roman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 –1</w:t>
            </w:r>
            <w:r w:rsidR="00D3745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1348D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1.3.1.1.1.2. Предоставление субсидий организациям медицинской промышленности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образцов продукции медицинских изделий, лекарственных средств и медицинских технологий, готовых к обязательным видам испытаний, в рамках реализации подпрограммы, 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13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 – 1</w:t>
            </w:r>
            <w:r w:rsidR="001348D2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D70F25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70F25"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1.3.1.1.2. Задача 1.2 подпрограммы 3.: содействие развитию инфраструктуры медицинской промышленности в Новосибирской области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1.3.1.1.2.1. Предоставление субсидий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организациям медицинской промышленности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созданных и/или усовершенствован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единицы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E9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96A8E"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на решение задачи 1.2. цели 1 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государственной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E96A8E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76570F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7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76570F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D70F25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76570F">
        <w:rPr>
          <w:rFonts w:ascii="Times New Roman" w:eastAsia="Calibri" w:hAnsi="Times New Roman" w:cs="Times New Roman"/>
          <w:sz w:val="20"/>
          <w:szCs w:val="20"/>
        </w:rPr>
        <w:t>*в связи с тем,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характер, стоимость единицы не планируется»</w:t>
      </w:r>
    </w:p>
    <w:p w:rsidR="00D70F25" w:rsidRPr="00D70F25" w:rsidRDefault="00D70F25" w:rsidP="00D70F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DE" w:rsidRPr="005D03DE" w:rsidRDefault="005D03DE" w:rsidP="005D03DE">
      <w:pPr>
        <w:jc w:val="center"/>
      </w:pP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5D03DE">
        <w:softHyphen/>
      </w:r>
      <w:r w:rsidRPr="005D03DE">
        <w:softHyphen/>
      </w:r>
      <w:r>
        <w:t>___________________</w:t>
      </w:r>
    </w:p>
    <w:p w:rsidR="001519FE" w:rsidRPr="005D03DE" w:rsidRDefault="001519FE" w:rsidP="005D03DE">
      <w:pPr>
        <w:tabs>
          <w:tab w:val="left" w:pos="11068"/>
        </w:tabs>
      </w:pPr>
    </w:p>
    <w:sectPr w:rsidR="001519FE" w:rsidRPr="005D03DE" w:rsidSect="00D70F2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50" w:rsidRDefault="00926450">
      <w:pPr>
        <w:spacing w:after="0" w:line="240" w:lineRule="auto"/>
      </w:pPr>
      <w:r>
        <w:separator/>
      </w:r>
    </w:p>
  </w:endnote>
  <w:endnote w:type="continuationSeparator" w:id="0">
    <w:p w:rsidR="00926450" w:rsidRDefault="0092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CF" w:rsidRPr="00CC4D5D" w:rsidRDefault="004405CF" w:rsidP="004405CF">
    <w:pPr>
      <w:pStyle w:val="a3"/>
      <w:jc w:val="center"/>
      <w:rPr>
        <w:sz w:val="20"/>
        <w:szCs w:val="20"/>
      </w:rPr>
    </w:pPr>
    <w:r w:rsidRPr="00CC4D5D">
      <w:rPr>
        <w:sz w:val="20"/>
        <w:szCs w:val="20"/>
      </w:rPr>
      <w:fldChar w:fldCharType="begin"/>
    </w:r>
    <w:r w:rsidRPr="00CC4D5D">
      <w:rPr>
        <w:sz w:val="20"/>
        <w:szCs w:val="20"/>
      </w:rPr>
      <w:instrText>PAGE   \* MERGEFORMAT</w:instrText>
    </w:r>
    <w:r w:rsidRPr="00CC4D5D">
      <w:rPr>
        <w:sz w:val="20"/>
        <w:szCs w:val="20"/>
      </w:rPr>
      <w:fldChar w:fldCharType="separate"/>
    </w:r>
    <w:r w:rsidR="0001025E">
      <w:rPr>
        <w:noProof/>
        <w:sz w:val="20"/>
        <w:szCs w:val="20"/>
      </w:rPr>
      <w:t>16</w:t>
    </w:r>
    <w:r w:rsidRPr="00CC4D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50" w:rsidRDefault="00926450">
      <w:pPr>
        <w:spacing w:after="0" w:line="240" w:lineRule="auto"/>
      </w:pPr>
      <w:r>
        <w:separator/>
      </w:r>
    </w:p>
  </w:footnote>
  <w:footnote w:type="continuationSeparator" w:id="0">
    <w:p w:rsidR="00926450" w:rsidRDefault="0092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2"/>
    <w:rsid w:val="0001025E"/>
    <w:rsid w:val="0003797E"/>
    <w:rsid w:val="00051512"/>
    <w:rsid w:val="0005309F"/>
    <w:rsid w:val="00081B62"/>
    <w:rsid w:val="0009259B"/>
    <w:rsid w:val="0009438F"/>
    <w:rsid w:val="000951E6"/>
    <w:rsid w:val="000A05FF"/>
    <w:rsid w:val="000A3886"/>
    <w:rsid w:val="000B1C2C"/>
    <w:rsid w:val="000C6123"/>
    <w:rsid w:val="000E739C"/>
    <w:rsid w:val="001348D2"/>
    <w:rsid w:val="00135296"/>
    <w:rsid w:val="001519FE"/>
    <w:rsid w:val="00152B6B"/>
    <w:rsid w:val="00195980"/>
    <w:rsid w:val="001A61EB"/>
    <w:rsid w:val="001D4EA0"/>
    <w:rsid w:val="001E13CF"/>
    <w:rsid w:val="001E2149"/>
    <w:rsid w:val="00257EFA"/>
    <w:rsid w:val="002D3DB4"/>
    <w:rsid w:val="002F5D30"/>
    <w:rsid w:val="00315222"/>
    <w:rsid w:val="0031530D"/>
    <w:rsid w:val="00332C9A"/>
    <w:rsid w:val="003674A6"/>
    <w:rsid w:val="00387FDC"/>
    <w:rsid w:val="003E212F"/>
    <w:rsid w:val="00400DCE"/>
    <w:rsid w:val="0040736D"/>
    <w:rsid w:val="00412546"/>
    <w:rsid w:val="004251E7"/>
    <w:rsid w:val="004405CF"/>
    <w:rsid w:val="00462FAA"/>
    <w:rsid w:val="00472296"/>
    <w:rsid w:val="004A3232"/>
    <w:rsid w:val="004A6B06"/>
    <w:rsid w:val="004B44AD"/>
    <w:rsid w:val="004B4CD2"/>
    <w:rsid w:val="004F4112"/>
    <w:rsid w:val="00520AFA"/>
    <w:rsid w:val="0058592C"/>
    <w:rsid w:val="005A04F4"/>
    <w:rsid w:val="005D03DE"/>
    <w:rsid w:val="005D121B"/>
    <w:rsid w:val="005E313D"/>
    <w:rsid w:val="005E377A"/>
    <w:rsid w:val="00610EE5"/>
    <w:rsid w:val="006330EF"/>
    <w:rsid w:val="00650F37"/>
    <w:rsid w:val="00690831"/>
    <w:rsid w:val="006C07D9"/>
    <w:rsid w:val="006C71A4"/>
    <w:rsid w:val="006D2564"/>
    <w:rsid w:val="006D434E"/>
    <w:rsid w:val="006D7059"/>
    <w:rsid w:val="006E5B1A"/>
    <w:rsid w:val="0070279A"/>
    <w:rsid w:val="00723D57"/>
    <w:rsid w:val="0073372B"/>
    <w:rsid w:val="00745DAE"/>
    <w:rsid w:val="0076570F"/>
    <w:rsid w:val="00770C88"/>
    <w:rsid w:val="007A3B0F"/>
    <w:rsid w:val="007C6479"/>
    <w:rsid w:val="007D4A62"/>
    <w:rsid w:val="007E0867"/>
    <w:rsid w:val="007F2BD9"/>
    <w:rsid w:val="00813A4F"/>
    <w:rsid w:val="00813C3B"/>
    <w:rsid w:val="00817C7F"/>
    <w:rsid w:val="00837E46"/>
    <w:rsid w:val="00854566"/>
    <w:rsid w:val="0086611E"/>
    <w:rsid w:val="00876245"/>
    <w:rsid w:val="00890AE6"/>
    <w:rsid w:val="008957D6"/>
    <w:rsid w:val="008D1D57"/>
    <w:rsid w:val="008E37F2"/>
    <w:rsid w:val="00926450"/>
    <w:rsid w:val="009C0F85"/>
    <w:rsid w:val="009E4686"/>
    <w:rsid w:val="009F13AA"/>
    <w:rsid w:val="00A0731B"/>
    <w:rsid w:val="00A15C51"/>
    <w:rsid w:val="00A320E4"/>
    <w:rsid w:val="00A407F2"/>
    <w:rsid w:val="00AA223D"/>
    <w:rsid w:val="00AC1162"/>
    <w:rsid w:val="00AE58AE"/>
    <w:rsid w:val="00AF6D3E"/>
    <w:rsid w:val="00B03AB9"/>
    <w:rsid w:val="00B10FC7"/>
    <w:rsid w:val="00B11A4A"/>
    <w:rsid w:val="00B1234B"/>
    <w:rsid w:val="00B421D6"/>
    <w:rsid w:val="00B50954"/>
    <w:rsid w:val="00B52419"/>
    <w:rsid w:val="00B56058"/>
    <w:rsid w:val="00B6008F"/>
    <w:rsid w:val="00BA0387"/>
    <w:rsid w:val="00BA7CE7"/>
    <w:rsid w:val="00BB478F"/>
    <w:rsid w:val="00BB4BCF"/>
    <w:rsid w:val="00BB5D81"/>
    <w:rsid w:val="00BC2D5C"/>
    <w:rsid w:val="00BC4281"/>
    <w:rsid w:val="00C159A2"/>
    <w:rsid w:val="00C34F54"/>
    <w:rsid w:val="00C46414"/>
    <w:rsid w:val="00C73163"/>
    <w:rsid w:val="00C75A38"/>
    <w:rsid w:val="00CA641B"/>
    <w:rsid w:val="00CE3A34"/>
    <w:rsid w:val="00CF6EB0"/>
    <w:rsid w:val="00D36D61"/>
    <w:rsid w:val="00D37452"/>
    <w:rsid w:val="00D70F25"/>
    <w:rsid w:val="00D95502"/>
    <w:rsid w:val="00DC3CC9"/>
    <w:rsid w:val="00DC720F"/>
    <w:rsid w:val="00DD2837"/>
    <w:rsid w:val="00DF23C1"/>
    <w:rsid w:val="00DF657F"/>
    <w:rsid w:val="00E1199B"/>
    <w:rsid w:val="00E16651"/>
    <w:rsid w:val="00E42895"/>
    <w:rsid w:val="00E43CC9"/>
    <w:rsid w:val="00E84B33"/>
    <w:rsid w:val="00E96A8E"/>
    <w:rsid w:val="00F04A94"/>
    <w:rsid w:val="00F757BE"/>
    <w:rsid w:val="00FB1B0D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Гребенникова Елена Борисовна</cp:lastModifiedBy>
  <cp:revision>2</cp:revision>
  <cp:lastPrinted>2017-12-13T02:42:00Z</cp:lastPrinted>
  <dcterms:created xsi:type="dcterms:W3CDTF">2018-04-24T08:47:00Z</dcterms:created>
  <dcterms:modified xsi:type="dcterms:W3CDTF">2018-04-24T08:47:00Z</dcterms:modified>
</cp:coreProperties>
</file>