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</w:p>
    <w:p>
      <w:pPr>
        <w:ind w:firstLine="0"/>
        <w:jc w:val="center"/>
        <w:widowControl/>
        <w:rPr>
          <w:bCs/>
          <w:sz w:val="36"/>
          <w:szCs w:val="36"/>
        </w:rPr>
      </w:pPr>
      <w:r>
        <w:rPr>
          <w:bCs/>
          <w:sz w:val="36"/>
          <w:szCs w:val="36"/>
        </w:rPr>
      </w:r>
      <w:r>
        <w:rPr>
          <w:bCs/>
          <w:sz w:val="36"/>
          <w:szCs w:val="36"/>
        </w:rPr>
      </w:r>
    </w:p>
    <w:p>
      <w:pPr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firstLine="0"/>
        <w:widowControl/>
      </w:pPr>
      <w:r>
        <w:t xml:space="preserve">12.12</w:t>
      </w:r>
      <w:r>
        <w:t xml:space="preserve">.20</w:t>
      </w:r>
      <w:r>
        <w:t xml:space="preserve">2</w:t>
      </w:r>
      <w:r>
        <w:t xml:space="preserve">4</w:t>
      </w:r>
      <w:r>
        <w:t xml:space="preserve">                                                </w:t>
      </w:r>
      <w:r>
        <w:t xml:space="preserve">   </w:t>
      </w:r>
      <w:r>
        <w:t xml:space="preserve">                </w:t>
      </w:r>
      <w:r>
        <w:t xml:space="preserve">         </w:t>
      </w:r>
      <w:r>
        <w:t xml:space="preserve">               </w:t>
      </w:r>
      <w:r>
        <w:t xml:space="preserve">  </w:t>
      </w:r>
      <w:r>
        <w:t xml:space="preserve">   </w:t>
      </w:r>
      <w:r>
        <w:t xml:space="preserve"> </w:t>
      </w:r>
      <w:r>
        <w:t xml:space="preserve">№</w:t>
      </w:r>
      <w:r>
        <w:t xml:space="preserve"> </w:t>
      </w:r>
      <w:r>
        <w:t xml:space="preserve">398</w:t>
      </w:r>
      <w:r>
        <w:t xml:space="preserve">-НПА</w:t>
      </w:r>
      <w:r/>
    </w:p>
    <w:p>
      <w:pPr>
        <w:ind w:left="709" w:firstLine="0"/>
        <w:jc w:val="left"/>
        <w:widowControl/>
      </w:pPr>
      <w:r/>
      <w:r/>
    </w:p>
    <w:p>
      <w:pPr>
        <w:ind w:firstLine="0"/>
        <w:jc w:val="center"/>
        <w:widowControl/>
      </w:pPr>
      <w:r>
        <w:t xml:space="preserve">г.</w:t>
      </w:r>
      <w:r>
        <w:t xml:space="preserve"> </w:t>
      </w:r>
      <w:r>
        <w:t xml:space="preserve">Новосибирск</w:t>
      </w:r>
      <w:r/>
    </w:p>
    <w:p>
      <w:pPr>
        <w:ind w:firstLine="0"/>
        <w:jc w:val="center"/>
        <w:widowControl/>
      </w:pPr>
      <w:r/>
      <w:r/>
    </w:p>
    <w:p>
      <w:pPr>
        <w:ind w:firstLine="0"/>
        <w:jc w:val="center"/>
        <w:widowControl/>
      </w:pPr>
      <w:r/>
      <w:r/>
    </w:p>
    <w:p>
      <w:pPr>
        <w:ind w:firstLine="0"/>
        <w:jc w:val="center"/>
        <w:widowControl/>
      </w:pPr>
      <w:r/>
      <w:r/>
    </w:p>
    <w:p>
      <w:pPr>
        <w:ind w:firstLine="0"/>
        <w:jc w:val="center"/>
        <w:widowControl/>
      </w:pPr>
      <w:r>
        <w:t xml:space="preserve">О</w:t>
      </w:r>
      <w:r>
        <w:t xml:space="preserve"> </w:t>
      </w:r>
      <w:r>
        <w:t xml:space="preserve">внесении изменений в приказ министерства промышленности,</w:t>
      </w:r>
      <w:r>
        <w:t xml:space="preserve"> </w:t>
      </w:r>
      <w:r>
        <w:t xml:space="preserve">торговли и развития предпринимательства Новосибирской области</w:t>
      </w:r>
      <w:r>
        <w:t xml:space="preserve"> </w:t>
      </w:r>
      <w:r>
        <w:t xml:space="preserve">от</w:t>
      </w:r>
      <w:r>
        <w:t xml:space="preserve"> </w:t>
      </w:r>
      <w:r>
        <w:t xml:space="preserve">24.01.2011</w:t>
      </w:r>
      <w:r>
        <w:t xml:space="preserve"> №</w:t>
      </w:r>
      <w:r>
        <w:t xml:space="preserve"> </w:t>
      </w:r>
      <w:r>
        <w:t xml:space="preserve">10</w:t>
      </w:r>
      <w:r/>
    </w:p>
    <w:p>
      <w:pPr>
        <w:ind w:left="709" w:firstLine="0"/>
        <w:jc w:val="left"/>
        <w:widowControl/>
      </w:pPr>
      <w:r/>
      <w:r/>
    </w:p>
    <w:p>
      <w:pPr>
        <w:ind w:left="709" w:firstLine="0"/>
        <w:jc w:val="left"/>
        <w:widowControl/>
      </w:pPr>
      <w:r/>
      <w:r/>
    </w:p>
    <w:p>
      <w:pPr>
        <w:widowControl/>
      </w:pPr>
      <w:r>
        <w:rPr>
          <w:b/>
        </w:rPr>
        <w:t xml:space="preserve">П</w:t>
      </w:r>
      <w:r>
        <w:rPr>
          <w:b/>
        </w:rPr>
        <w:t xml:space="preserve"> р и к а з ы в а ю:</w:t>
      </w:r>
      <w:r/>
    </w:p>
    <w:p>
      <w:pPr>
        <w:widowControl/>
      </w:pPr>
      <w:r>
        <w:t xml:space="preserve">Внести в приказ министерства промышленности, торговли и развития предпринимательства Новосибирской области от</w:t>
      </w:r>
      <w:r>
        <w:t xml:space="preserve"> </w:t>
      </w:r>
      <w:r>
        <w:t xml:space="preserve">24.01.2011</w:t>
      </w:r>
      <w:r>
        <w:t xml:space="preserve"> №</w:t>
      </w:r>
      <w:r>
        <w:t xml:space="preserve"> </w:t>
      </w:r>
      <w:r>
        <w:t xml:space="preserve">10</w:t>
      </w:r>
      <w:r>
        <w:t xml:space="preserve"> «</w:t>
      </w:r>
      <w:r>
        <w:t xml:space="preserve">О 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>
        <w:t xml:space="preserve">» следующие изменения:</w:t>
      </w:r>
      <w:r/>
    </w:p>
    <w:p>
      <w:pPr>
        <w:widowControl/>
      </w:pPr>
      <w:r>
        <w:t xml:space="preserve">1. В наименовании, пунктах 1, 2 слова «в Новосибирской области» заменить словами «муниципальных образовани</w:t>
      </w:r>
      <w:r>
        <w:t xml:space="preserve">й</w:t>
      </w:r>
      <w:r>
        <w:t xml:space="preserve"> Новосибирской области».</w:t>
      </w:r>
      <w:r/>
    </w:p>
    <w:p>
      <w:pPr>
        <w:widowControl/>
      </w:pPr>
      <w:r>
        <w:t xml:space="preserve">2. </w:t>
      </w:r>
      <w:r>
        <w:t xml:space="preserve">В</w:t>
      </w:r>
      <w:r>
        <w:t xml:space="preserve"> </w:t>
      </w:r>
      <w:r>
        <w:t xml:space="preserve">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>
        <w:t xml:space="preserve"> (далее – Порядок)</w:t>
      </w:r>
      <w:r>
        <w:t xml:space="preserve">:</w:t>
      </w:r>
      <w:r/>
    </w:p>
    <w:p>
      <w:pPr>
        <w:widowControl/>
      </w:pPr>
      <w:r>
        <w:t xml:space="preserve">1) </w:t>
      </w:r>
      <w:r>
        <w:t xml:space="preserve">в </w:t>
      </w:r>
      <w:r>
        <w:t xml:space="preserve">наименовании, пункт</w:t>
      </w:r>
      <w:r>
        <w:t xml:space="preserve">е </w:t>
      </w:r>
      <w:r>
        <w:t xml:space="preserve">1 слова «в Новосибирской области» заменить словами «муниципальных образовани</w:t>
      </w:r>
      <w:r>
        <w:t xml:space="preserve">й</w:t>
      </w:r>
      <w:r>
        <w:t xml:space="preserve"> Новосибирской области»</w:t>
      </w:r>
      <w:r>
        <w:t xml:space="preserve">;</w:t>
      </w:r>
      <w:r/>
    </w:p>
    <w:p>
      <w:pPr>
        <w:widowControl/>
      </w:pPr>
      <w:r>
        <w:t xml:space="preserve">2) в пункте 1.1 слова «</w:t>
      </w:r>
      <w:r>
        <w:t xml:space="preserve">органов государственной власти</w:t>
      </w:r>
      <w:r>
        <w:t xml:space="preserve">»</w:t>
      </w:r>
      <w:r>
        <w:t xml:space="preserve"> </w:t>
      </w:r>
      <w:r>
        <w:t xml:space="preserve">заменить словами «</w:t>
      </w:r>
      <w:r>
        <w:t xml:space="preserve">исполнительных органов</w:t>
      </w:r>
      <w:r>
        <w:t xml:space="preserve">»</w:t>
      </w:r>
      <w:r>
        <w:t xml:space="preserve">;</w:t>
      </w:r>
      <w:r/>
    </w:p>
    <w:p>
      <w:pPr>
        <w:widowControl/>
      </w:pPr>
      <w:r>
        <w:t xml:space="preserve">3</w:t>
      </w:r>
      <w:r>
        <w:t xml:space="preserve">) в</w:t>
      </w:r>
      <w:r>
        <w:t xml:space="preserve"> пункте 5:</w:t>
      </w:r>
      <w:r/>
    </w:p>
    <w:p>
      <w:pPr>
        <w:widowControl/>
      </w:pPr>
      <w:r>
        <w:t xml:space="preserve">а</w:t>
      </w:r>
      <w:r>
        <w:t xml:space="preserve">) абзац перв</w:t>
      </w:r>
      <w:r>
        <w:t xml:space="preserve">ый</w:t>
      </w:r>
      <w:r>
        <w:t xml:space="preserve"> после слова «округа,» дополнить словами «муниципального округа,»;</w:t>
      </w:r>
      <w:r/>
    </w:p>
    <w:p>
      <w:pPr>
        <w:widowControl/>
      </w:pPr>
      <w:r>
        <w:t xml:space="preserve">б)</w:t>
      </w:r>
      <w:r>
        <w:t xml:space="preserve"> после абзаца третьего дополнить абзацем четвертым следующего содержания:</w:t>
      </w:r>
      <w:r/>
    </w:p>
    <w:p>
      <w:pPr>
        <w:widowControl/>
      </w:pPr>
      <w:r>
        <w:t xml:space="preserve">«</w:t>
      </w:r>
      <w:r>
        <w:t xml:space="preserve">Схема в </w:t>
      </w:r>
      <w:r>
        <w:t xml:space="preserve">муниципальных</w:t>
      </w:r>
      <w:r>
        <w:t xml:space="preserve"> округах разрабатывается для </w:t>
      </w:r>
      <w:r>
        <w:t xml:space="preserve">муниципального</w:t>
      </w:r>
      <w:r>
        <w:t xml:space="preserve"> округа в целом.</w:t>
      </w:r>
      <w:r>
        <w:t xml:space="preserve">»</w:t>
      </w:r>
      <w:r>
        <w:t xml:space="preserve">;</w:t>
      </w:r>
      <w:r/>
    </w:p>
    <w:p>
      <w:pPr>
        <w:widowControl/>
      </w:pPr>
      <w:r>
        <w:t xml:space="preserve">4</w:t>
      </w:r>
      <w:r>
        <w:t xml:space="preserve">)</w:t>
      </w:r>
      <w:r>
        <w:t xml:space="preserve"> </w:t>
      </w:r>
      <w:r>
        <w:t xml:space="preserve">в пункте</w:t>
      </w:r>
      <w:r>
        <w:t xml:space="preserve"> 6 </w:t>
      </w:r>
      <w:r>
        <w:t xml:space="preserve">слова «и формирует» исключить;</w:t>
      </w:r>
      <w:r/>
    </w:p>
    <w:p>
      <w:pPr>
        <w:widowControl/>
      </w:pPr>
      <w:r>
        <w:t xml:space="preserve">5) </w:t>
      </w:r>
      <w:r>
        <w:t xml:space="preserve">в</w:t>
      </w:r>
      <w:r>
        <w:t xml:space="preserve"> пункте 7 слова</w:t>
      </w:r>
      <w:r>
        <w:t xml:space="preserve"> </w:t>
      </w:r>
      <w:r>
        <w:t xml:space="preserve">«</w:t>
      </w:r>
      <w:r>
        <w:t xml:space="preserve">и последствий потребления табака</w:t>
      </w:r>
      <w:r>
        <w:t xml:space="preserve">» заменить словами «</w:t>
      </w:r>
      <w:r>
        <w:t xml:space="preserve">,</w:t>
      </w:r>
      <w:r>
        <w:t xml:space="preserve"> </w:t>
      </w:r>
      <w:r>
        <w:t xml:space="preserve">последствий потребления табака или потребления никотинсодержащей продукции</w:t>
      </w:r>
      <w:r>
        <w:t xml:space="preserve">»</w:t>
      </w:r>
      <w:r>
        <w:t xml:space="preserve">;</w:t>
      </w:r>
      <w:r/>
    </w:p>
    <w:p>
      <w:pPr>
        <w:widowControl/>
      </w:pPr>
      <w:r>
        <w:t xml:space="preserve">6) </w:t>
      </w:r>
      <w:r>
        <w:t xml:space="preserve">п</w:t>
      </w:r>
      <w:r>
        <w:t xml:space="preserve">одпункт 3 пункта 8 </w:t>
      </w:r>
      <w:r>
        <w:t xml:space="preserve">дополнить словами </w:t>
      </w:r>
      <w:r>
        <w:t xml:space="preserve">«(</w:t>
      </w:r>
      <w:r>
        <w:t xml:space="preserve">с учетом </w:t>
      </w:r>
      <w:r>
        <w:t xml:space="preserve">обращени</w:t>
      </w:r>
      <w:r>
        <w:t xml:space="preserve">й</w:t>
      </w:r>
      <w:r>
        <w:t xml:space="preserve">, поступивши</w:t>
      </w:r>
      <w:r>
        <w:t xml:space="preserve">х</w:t>
      </w:r>
      <w:r>
        <w:t xml:space="preserve"> в</w:t>
      </w:r>
      <w:r>
        <w:t xml:space="preserve"> орган</w:t>
      </w:r>
      <w:r>
        <w:t xml:space="preserve">ы</w:t>
      </w:r>
      <w:r>
        <w:t xml:space="preserve"> местного самоуправления </w:t>
      </w:r>
      <w:r>
        <w:t xml:space="preserve">муниципальн</w:t>
      </w:r>
      <w:r>
        <w:t xml:space="preserve">ых</w:t>
      </w:r>
      <w:r>
        <w:t xml:space="preserve"> образовани</w:t>
      </w:r>
      <w:r>
        <w:t xml:space="preserve">й</w:t>
      </w:r>
      <w:r>
        <w:t xml:space="preserve"> Новосибирской области </w:t>
      </w:r>
      <w:r>
        <w:t xml:space="preserve">в соответствии с Федеральным законом от</w:t>
      </w:r>
      <w:r>
        <w:t xml:space="preserve"> 02.05.2006</w:t>
      </w:r>
      <w:r>
        <w:t xml:space="preserve"> </w:t>
      </w:r>
      <w:r>
        <w:t xml:space="preserve">№ </w:t>
      </w:r>
      <w:r>
        <w:t xml:space="preserve">59-ФЗ </w:t>
      </w:r>
      <w:r>
        <w:t xml:space="preserve">«</w:t>
      </w:r>
      <w:r>
        <w:t xml:space="preserve">О</w:t>
      </w:r>
      <w:r>
        <w:t xml:space="preserve"> </w:t>
      </w:r>
      <w:r>
        <w:t xml:space="preserve">порядке рассмотрения обращений граждан Российской Федерации</w:t>
      </w:r>
      <w:r>
        <w:t xml:space="preserve">»</w:t>
      </w:r>
      <w:r>
        <w:t xml:space="preserve">)»</w:t>
      </w:r>
      <w:r>
        <w:t xml:space="preserve">;</w:t>
      </w:r>
      <w:r/>
    </w:p>
    <w:p>
      <w:pPr>
        <w:widowControl/>
      </w:pPr>
      <w:r>
        <w:rPr>
          <w:color w:val="000000" w:themeColor="text1"/>
        </w:rPr>
        <w:t xml:space="preserve">7)</w:t>
      </w:r>
      <w:r>
        <w:t xml:space="preserve"> </w:t>
      </w:r>
      <w:r>
        <w:t xml:space="preserve">в</w:t>
      </w:r>
      <w:r>
        <w:t xml:space="preserve"> пункте 9</w:t>
      </w:r>
      <w:r>
        <w:t xml:space="preserve"> слова «</w:t>
      </w:r>
      <w:r>
        <w:t xml:space="preserve">государственной власти</w:t>
      </w:r>
      <w:r>
        <w:t xml:space="preserve">» исключить;</w:t>
      </w:r>
      <w:r/>
    </w:p>
    <w:p>
      <w:pPr>
        <w:widowControl/>
        <w:rPr>
          <w:color w:val="000000" w:themeColor="text1"/>
        </w:rPr>
      </w:pPr>
      <w:r>
        <w:t xml:space="preserve">8)</w:t>
      </w:r>
      <w:r>
        <w:rPr>
          <w:color w:val="000000" w:themeColor="text1"/>
        </w:rPr>
        <w:t xml:space="preserve"> </w:t>
      </w: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осле пункта 9 д</w:t>
      </w:r>
      <w:r>
        <w:rPr>
          <w:color w:val="000000" w:themeColor="text1"/>
        </w:rPr>
        <w:t xml:space="preserve">ополнить пунктом 9.1 следующего содержания:</w:t>
      </w:r>
      <w:r>
        <w:rPr>
          <w:color w:val="000000" w:themeColor="text1"/>
        </w:rPr>
      </w:r>
    </w:p>
    <w:p>
      <w:pPr>
        <w:widowControl/>
        <w:rPr>
          <w:color w:val="000000" w:themeColor="text1"/>
        </w:rPr>
      </w:pPr>
      <w:r>
        <w:rPr>
          <w:color w:val="000000" w:themeColor="text1"/>
        </w:rPr>
        <w:t xml:space="preserve">«9.1. Для согласования проекта Схемы уполномоченный орган местного самоуправления направляет проект Схемы в </w:t>
      </w:r>
      <w:r>
        <w:rPr>
          <w:color w:val="000000" w:themeColor="text1"/>
        </w:rPr>
        <w:t xml:space="preserve">областной исполнительный </w:t>
      </w:r>
      <w:r>
        <w:rPr>
          <w:color w:val="000000" w:themeColor="text1"/>
        </w:rPr>
        <w:t xml:space="preserve">орган</w:t>
      </w:r>
      <w:r>
        <w:rPr>
          <w:color w:val="000000" w:themeColor="text1"/>
        </w:rPr>
        <w:t xml:space="preserve"> Новосибирской области</w:t>
      </w:r>
      <w:r>
        <w:rPr>
          <w:color w:val="000000" w:themeColor="text1"/>
        </w:rPr>
        <w:t xml:space="preserve">, указанный в пункте 9 настоящего Порядка, в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письменной форме по почтовому адресу или в форме электронного документа по адресу электронной почты: giookn@nso.ru или посредством государственной информационной системы «Система электронного документооборота и делопроизводства Правительства Новосиби</w:t>
      </w:r>
      <w:r>
        <w:rPr>
          <w:color w:val="000000" w:themeColor="text1"/>
        </w:rPr>
        <w:t xml:space="preserve">рской области» (далее – СЭДД).»;</w:t>
      </w:r>
      <w:r>
        <w:rPr>
          <w:color w:val="000000" w:themeColor="text1"/>
        </w:rPr>
      </w:r>
    </w:p>
    <w:p>
      <w:pPr>
        <w:widowControl/>
      </w:pPr>
      <w:r>
        <w:t xml:space="preserve">9)</w:t>
      </w:r>
      <w:r>
        <w:t xml:space="preserve"> </w:t>
      </w:r>
      <w:r>
        <w:t xml:space="preserve">п</w:t>
      </w:r>
      <w:r>
        <w:t xml:space="preserve">ункт 11</w:t>
      </w:r>
      <w:r>
        <w:t xml:space="preserve"> </w:t>
      </w:r>
      <w:r>
        <w:t xml:space="preserve">изложить в следующей редакции:</w:t>
      </w:r>
      <w:r/>
    </w:p>
    <w:p>
      <w:pPr>
        <w:widowControl/>
      </w:pPr>
      <w:r>
        <w:t xml:space="preserve">«11. О</w:t>
      </w:r>
      <w:r>
        <w:t xml:space="preserve">бластной исполнительный орган Новосибирской области</w:t>
      </w:r>
      <w:r>
        <w:t xml:space="preserve">, указанный в</w:t>
      </w:r>
      <w:r>
        <w:t xml:space="preserve"> </w:t>
      </w:r>
      <w:r>
        <w:t xml:space="preserve">пункте 9 настоящего Порядка, </w:t>
      </w:r>
      <w:r>
        <w:t xml:space="preserve">рассматривает проект Схемы в течение десяти рабочих дней со дня его поступления и </w:t>
      </w:r>
      <w:r>
        <w:t xml:space="preserve">в</w:t>
      </w:r>
      <w:r>
        <w:t xml:space="preserve"> </w:t>
      </w:r>
      <w:r>
        <w:t xml:space="preserve">письменной форме по почтовому адресу или в форме электронного документа по адресу электронной почты или посредством</w:t>
      </w:r>
      <w:r>
        <w:t xml:space="preserve"> СЭДД уведомляет </w:t>
      </w:r>
      <w:r>
        <w:t xml:space="preserve">уполномоченный орган местного самоуправления</w:t>
      </w:r>
      <w:r>
        <w:t xml:space="preserve"> о согласовании проекта Схемы либо направляет замечания и предложения по проекту Схемы.»</w:t>
      </w:r>
      <w:r>
        <w:t xml:space="preserve">;</w:t>
      </w:r>
      <w:r/>
    </w:p>
    <w:p>
      <w:pPr>
        <w:widowControl/>
      </w:pPr>
      <w:r>
        <w:rPr>
          <w:color w:val="000000" w:themeColor="text1"/>
        </w:rPr>
        <w:t xml:space="preserve">10)</w:t>
      </w:r>
      <w:r>
        <w:t xml:space="preserve"> </w:t>
      </w:r>
      <w:r>
        <w:t xml:space="preserve">в</w:t>
      </w:r>
      <w:r>
        <w:t xml:space="preserve"> пункте 12 цифры «10» заменить словами «десяти»</w:t>
      </w:r>
      <w:r>
        <w:t xml:space="preserve">;</w:t>
      </w:r>
      <w:r/>
    </w:p>
    <w:p>
      <w:pPr>
        <w:widowControl/>
        <w:rPr>
          <w:color w:val="000000" w:themeColor="text1"/>
        </w:rPr>
      </w:pPr>
      <w:r>
        <w:t xml:space="preserve">11)</w:t>
      </w:r>
      <w:r>
        <w:rPr>
          <w:color w:val="000000" w:themeColor="text1"/>
        </w:rPr>
        <w:t xml:space="preserve"> 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 пункт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13</w:t>
      </w:r>
      <w:r>
        <w:rPr>
          <w:color w:val="000000" w:themeColor="text1"/>
        </w:rPr>
        <w:t xml:space="preserve">:</w:t>
      </w:r>
      <w:r>
        <w:rPr>
          <w:color w:val="000000" w:themeColor="text1"/>
        </w:rPr>
      </w:r>
    </w:p>
    <w:p>
      <w:pPr>
        <w:widowControl/>
        <w:rPr>
          <w:color w:val="000000" w:themeColor="text1"/>
        </w:rPr>
      </w:pP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) слово «органом» заменить словами «</w:t>
      </w:r>
      <w:r>
        <w:rPr>
          <w:color w:val="000000" w:themeColor="text1"/>
        </w:rPr>
        <w:t xml:space="preserve">областн</w:t>
      </w:r>
      <w:r>
        <w:rPr>
          <w:color w:val="000000" w:themeColor="text1"/>
        </w:rPr>
        <w:t xml:space="preserve">ым</w:t>
      </w:r>
      <w:r>
        <w:rPr>
          <w:color w:val="000000" w:themeColor="text1"/>
        </w:rPr>
        <w:t xml:space="preserve"> исполнительны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 орган</w:t>
      </w:r>
      <w:r>
        <w:rPr>
          <w:color w:val="000000" w:themeColor="text1"/>
        </w:rPr>
        <w:t xml:space="preserve">ом</w:t>
      </w:r>
      <w:r>
        <w:rPr>
          <w:color w:val="000000" w:themeColor="text1"/>
        </w:rPr>
        <w:t xml:space="preserve"> Новосибирской области</w:t>
      </w:r>
      <w:r>
        <w:rPr>
          <w:color w:val="000000" w:themeColor="text1"/>
        </w:rPr>
        <w:t xml:space="preserve">»;</w:t>
      </w:r>
      <w:r>
        <w:rPr>
          <w:color w:val="000000" w:themeColor="text1"/>
        </w:rPr>
      </w:r>
    </w:p>
    <w:p>
      <w:pPr>
        <w:widowControl/>
        <w:rPr>
          <w:color w:val="000000" w:themeColor="text1"/>
        </w:rPr>
      </w:pPr>
      <w:r>
        <w:rPr>
          <w:color w:val="000000" w:themeColor="text1"/>
        </w:rPr>
        <w:t xml:space="preserve">б</w:t>
      </w:r>
      <w:r>
        <w:rPr>
          <w:color w:val="000000" w:themeColor="text1"/>
        </w:rPr>
        <w:t xml:space="preserve">) </w:t>
      </w:r>
      <w:r>
        <w:rPr>
          <w:color w:val="000000" w:themeColor="text1"/>
        </w:rPr>
        <w:t xml:space="preserve">слова «пунктами 11» заменить словами «пунктами 9.1, 11</w:t>
      </w:r>
      <w:r>
        <w:rPr>
          <w:color w:val="000000" w:themeColor="text1"/>
        </w:rPr>
        <w:t xml:space="preserve">»;</w:t>
      </w:r>
      <w:r>
        <w:rPr>
          <w:color w:val="000000" w:themeColor="text1"/>
        </w:rPr>
      </w:r>
    </w:p>
    <w:p>
      <w:pPr>
        <w:widowControl/>
      </w:pPr>
      <w:r>
        <w:t xml:space="preserve">12)</w:t>
      </w:r>
      <w:r>
        <w:t xml:space="preserve"> </w:t>
      </w:r>
      <w:r>
        <w:t xml:space="preserve">в</w:t>
      </w:r>
      <w:r>
        <w:t xml:space="preserve"> </w:t>
      </w:r>
      <w:r>
        <w:t xml:space="preserve">пункте 16.1:</w:t>
      </w:r>
      <w:r/>
    </w:p>
    <w:p>
      <w:pPr>
        <w:widowControl/>
      </w:pPr>
      <w:r>
        <w:t xml:space="preserve">а) в абзаце первом слово «места» заменить словом «мест»;</w:t>
      </w:r>
      <w:r/>
    </w:p>
    <w:p>
      <w:pPr>
        <w:widowControl/>
      </w:pPr>
      <w:r>
        <w:t xml:space="preserve">б) в </w:t>
      </w:r>
      <w:r>
        <w:t xml:space="preserve">подпункте 1 слова «</w:t>
      </w:r>
      <w:r>
        <w:t xml:space="preserve">органов местного самоуправления муниципальных образований Новосибирской области</w:t>
      </w:r>
      <w:r>
        <w:t xml:space="preserve">» заменить словами «уполномоченного органа местного самоуправления»</w:t>
      </w:r>
      <w:r>
        <w:t xml:space="preserve">;</w:t>
      </w:r>
      <w:r/>
    </w:p>
    <w:p>
      <w:pPr>
        <w:widowControl/>
      </w:pPr>
      <w:r>
        <w:t xml:space="preserve">13)</w:t>
      </w:r>
      <w:r>
        <w:t xml:space="preserve"> </w:t>
      </w:r>
      <w:r>
        <w:t xml:space="preserve">в абзаце первом пункта 16.2 слово «места» заменить словом «мест»;</w:t>
      </w:r>
      <w:r/>
    </w:p>
    <w:p>
      <w:pPr>
        <w:widowControl/>
      </w:pPr>
      <w:r>
        <w:t xml:space="preserve">14) </w:t>
      </w:r>
      <w:r>
        <w:t xml:space="preserve">в</w:t>
      </w:r>
      <w:r>
        <w:t xml:space="preserve"> пункте 16.3 слова «с предоставлением» заменить словами</w:t>
      </w:r>
      <w:r>
        <w:t xml:space="preserve"> «не ранее даты предоставления»;</w:t>
      </w:r>
      <w:r/>
    </w:p>
    <w:p>
      <w:pPr>
        <w:widowControl/>
      </w:pPr>
      <w:r>
        <w:t xml:space="preserve">15)</w:t>
      </w:r>
      <w:r>
        <w:t xml:space="preserve"> после пункта 16.3 дополнить пунктами 16.3.1</w:t>
      </w:r>
      <w:r>
        <w:t xml:space="preserve"> –16.3.3 </w:t>
      </w:r>
      <w:r>
        <w:t xml:space="preserve">следующего содержания:</w:t>
      </w:r>
      <w:r/>
    </w:p>
    <w:p>
      <w:pPr>
        <w:widowControl/>
      </w:pPr>
      <w:r>
        <w:t xml:space="preserve">«16.3.1. Компенсационное место определяется по выбору хозяйствующего субъекта, осуществляющего торговую деятельность в месте размещения нестационарного торгового объекта, подлежащем исключению из Схемы:</w:t>
      </w:r>
      <w:r/>
    </w:p>
    <w:p>
      <w:pPr>
        <w:widowControl/>
      </w:pPr>
      <w:r>
        <w:t xml:space="preserve">1) из числа включенных в Схему перспективных мест размещения нестационарных торговых объектов;</w:t>
      </w:r>
      <w:r/>
    </w:p>
    <w:p>
      <w:pPr>
        <w:widowControl/>
      </w:pPr>
      <w:r>
        <w:t xml:space="preserve">2) путем включения в Схему нового места размещения нестационарного торгового объекта, в порядке, предусмотренном пунктами 16.1, 16.4 – 16.7 настоящего Порядка.</w:t>
      </w:r>
      <w:r/>
    </w:p>
    <w:p>
      <w:pPr>
        <w:widowControl/>
      </w:pPr>
      <w:r>
        <w:t xml:space="preserve">16.3.2. В случае внесения изменений в Схему в части включения</w:t>
      </w:r>
      <w:r>
        <w:t xml:space="preserve"> нового</w:t>
      </w:r>
      <w:r>
        <w:t xml:space="preserve"> места размещения нестационарного торгового объекта по инициативе хозяйствующего субъекта, осуществляющего торговую деятельность в месте размещения нестационарного торгового объекта, подлежащем исключению из Схемы, в качес</w:t>
      </w:r>
      <w:r>
        <w:t xml:space="preserve">тве компенсационного места может быть определено в том числе место, граничащее с иным местом размещения нестационарного торгового объекта, включенным в Схему, в котором данный хозяйствующий субъект осуществляет торговую деятельность (при наличии такового).</w:t>
      </w:r>
      <w:r/>
    </w:p>
    <w:p>
      <w:pPr>
        <w:widowControl/>
      </w:pPr>
      <w:r>
        <w:t xml:space="preserve">16.3.3. При определении компенсационного места, граничащего с иным местом размещения нестационарного торгового объекта, включенным в Схему, в котором хозяйствующий субъект осуществляет торговую деятельность,</w:t>
      </w:r>
      <w:r>
        <w:t xml:space="preserve"> в заявлении, указанном в пункте 16.4 настоящего Порядка, дополнительно указывается порядковый номер иного места размещения нестационарного торгового объекта, включенного в Схему, в котором данный хозяйствующий субъект осуществляет торговую деятельность.»;</w:t>
      </w:r>
      <w:r/>
    </w:p>
    <w:p>
      <w:pPr>
        <w:widowControl/>
      </w:pPr>
      <w:r>
        <w:t xml:space="preserve">16)</w:t>
      </w:r>
      <w:r>
        <w:t xml:space="preserve"> в </w:t>
      </w:r>
      <w:r>
        <w:t xml:space="preserve">пункте 16.4:</w:t>
      </w:r>
      <w:r/>
    </w:p>
    <w:p>
      <w:pPr>
        <w:widowControl/>
      </w:pPr>
      <w:r>
        <w:t xml:space="preserve">а</w:t>
      </w:r>
      <w:r>
        <w:t xml:space="preserve">) в абзаце втором</w:t>
      </w:r>
      <w:r>
        <w:t xml:space="preserve">:</w:t>
      </w:r>
      <w:r/>
    </w:p>
    <w:p>
      <w:pPr>
        <w:widowControl/>
      </w:pPr>
      <w:r>
        <w:t xml:space="preserve">слова «земельного участка</w:t>
      </w:r>
      <w:r>
        <w:t xml:space="preserve">, </w:t>
      </w:r>
      <w:r>
        <w:t xml:space="preserve">площадь нестационарного торгового объекта</w:t>
      </w:r>
      <w:r>
        <w:t xml:space="preserve">» заменить словами «места размещения нестационарного торгового объекта»;</w:t>
      </w:r>
      <w:r/>
    </w:p>
    <w:p>
      <w:pPr>
        <w:widowControl/>
      </w:pPr>
      <w:r>
        <w:t xml:space="preserve">сло</w:t>
      </w:r>
      <w:r>
        <w:t xml:space="preserve">в</w:t>
      </w:r>
      <w:r>
        <w:t xml:space="preserve">а</w:t>
      </w:r>
      <w:r>
        <w:t xml:space="preserve"> «</w:t>
      </w:r>
      <w:r>
        <w:t xml:space="preserve">расположения</w:t>
      </w:r>
      <w:r>
        <w:t xml:space="preserve"> нестационарных торговых объектов</w:t>
      </w:r>
      <w:r>
        <w:t xml:space="preserve">» </w:t>
      </w:r>
      <w:r>
        <w:t xml:space="preserve">заменить слов</w:t>
      </w:r>
      <w:r>
        <w:t xml:space="preserve">ами</w:t>
      </w:r>
      <w:r>
        <w:t xml:space="preserve"> «размещения</w:t>
      </w:r>
      <w:r>
        <w:t xml:space="preserve"> нестационарн</w:t>
      </w:r>
      <w:r>
        <w:t xml:space="preserve">ого</w:t>
      </w:r>
      <w:r>
        <w:t xml:space="preserve"> торгов</w:t>
      </w:r>
      <w:r>
        <w:t xml:space="preserve">ого</w:t>
      </w:r>
      <w:r>
        <w:t xml:space="preserve"> объект</w:t>
      </w:r>
      <w:r>
        <w:t xml:space="preserve">а</w:t>
      </w:r>
      <w:r>
        <w:t xml:space="preserve">»</w:t>
      </w:r>
      <w:r>
        <w:t xml:space="preserve">;</w:t>
      </w:r>
      <w:r/>
    </w:p>
    <w:p>
      <w:pPr>
        <w:widowControl/>
      </w:pPr>
      <w:r>
        <w:t xml:space="preserve">б</w:t>
      </w:r>
      <w:r>
        <w:t xml:space="preserve">) абзац третий изложить в следующей редакции:</w:t>
      </w:r>
      <w:r/>
    </w:p>
    <w:p>
      <w:pPr>
        <w:widowControl/>
      </w:pPr>
      <w:r>
        <w:t xml:space="preserve">«</w:t>
      </w:r>
      <w:r>
        <w:t xml:space="preserve">Копия </w:t>
      </w:r>
      <w:r>
        <w:t xml:space="preserve">выписк</w:t>
      </w:r>
      <w:r>
        <w:t xml:space="preserve">и</w:t>
      </w:r>
      <w:r>
        <w:t xml:space="preserve"> из Единого государственного реестра юридических лиц или </w:t>
      </w:r>
      <w:r>
        <w:t xml:space="preserve">копия </w:t>
      </w:r>
      <w:r>
        <w:t xml:space="preserve">выписк</w:t>
      </w:r>
      <w:r>
        <w:t xml:space="preserve">и</w:t>
      </w:r>
      <w:r>
        <w:t xml:space="preserve"> из Единого государственного реестра индивидуальных предпринимателей</w:t>
      </w:r>
      <w:r>
        <w:t xml:space="preserve"> </w:t>
      </w:r>
      <w:r>
        <w:t xml:space="preserve">представля</w:t>
      </w:r>
      <w:r>
        <w:t xml:space="preserve">е</w:t>
      </w:r>
      <w:r>
        <w:t xml:space="preserve">тся </w:t>
      </w:r>
      <w:r>
        <w:t xml:space="preserve">заявителем</w:t>
      </w:r>
      <w:r>
        <w:t xml:space="preserve"> по собственной инициативе</w:t>
      </w:r>
      <w:r>
        <w:t xml:space="preserve">.</w:t>
      </w:r>
      <w:r>
        <w:t xml:space="preserve"> В</w:t>
      </w:r>
      <w:r>
        <w:t xml:space="preserve"> </w:t>
      </w:r>
      <w:r>
        <w:t xml:space="preserve">случае если указанные документы не представлены</w:t>
      </w:r>
      <w:r>
        <w:t xml:space="preserve">,</w:t>
      </w:r>
      <w:r>
        <w:t xml:space="preserve"> уполномоченный орган местного самоуправления</w:t>
      </w:r>
      <w:r>
        <w:t xml:space="preserve"> </w:t>
      </w:r>
      <w:r>
        <w:t xml:space="preserve">запрашивает </w:t>
      </w:r>
      <w:r>
        <w:t xml:space="preserve">данные</w:t>
      </w:r>
      <w:r>
        <w:t xml:space="preserve"> документы в порядке межведомственного взаимодействия, в том числе в электронной форме с</w:t>
      </w:r>
      <w:r>
        <w:t xml:space="preserve"> </w:t>
      </w:r>
      <w:r>
        <w:t xml:space="preserve">использованием единой системы межведомственного электронного взаимодействия</w:t>
      </w:r>
      <w:r>
        <w:t xml:space="preserve">.»;</w:t>
      </w:r>
      <w:r/>
    </w:p>
    <w:p>
      <w:pPr>
        <w:widowControl/>
      </w:pPr>
      <w:r>
        <w:t xml:space="preserve">17)</w:t>
      </w:r>
      <w:r>
        <w:t xml:space="preserve"> </w:t>
      </w:r>
      <w:r>
        <w:t xml:space="preserve">в</w:t>
      </w:r>
      <w:r>
        <w:t xml:space="preserve"> </w:t>
      </w:r>
      <w:r>
        <w:t xml:space="preserve">пункте 16.5:</w:t>
      </w:r>
      <w:r/>
    </w:p>
    <w:p>
      <w:pPr>
        <w:widowControl/>
      </w:pPr>
      <w:r>
        <w:t xml:space="preserve">а) в </w:t>
      </w:r>
      <w:r>
        <w:t xml:space="preserve">абзаце первом циф</w:t>
      </w:r>
      <w:r>
        <w:t xml:space="preserve">ру «1» заменить словом «одного»;</w:t>
      </w:r>
      <w:r/>
    </w:p>
    <w:p>
      <w:pPr>
        <w:widowControl/>
      </w:pPr>
      <w:r>
        <w:t xml:space="preserve">б) в абзаце втором слова «</w:t>
      </w:r>
      <w:r>
        <w:t xml:space="preserve">нестационарных торговых объектов</w:t>
      </w:r>
      <w:r>
        <w:t xml:space="preserve">» заменить словами «</w:t>
      </w:r>
      <w:r>
        <w:t xml:space="preserve">нестационарн</w:t>
      </w:r>
      <w:r>
        <w:t xml:space="preserve">ого</w:t>
      </w:r>
      <w:r>
        <w:t xml:space="preserve"> торгов</w:t>
      </w:r>
      <w:r>
        <w:t xml:space="preserve">ого</w:t>
      </w:r>
      <w:r>
        <w:t xml:space="preserve"> объект</w:t>
      </w:r>
      <w:r>
        <w:t xml:space="preserve">а»;</w:t>
      </w:r>
      <w:r/>
    </w:p>
    <w:p>
      <w:pPr>
        <w:widowControl/>
      </w:pPr>
      <w:r>
        <w:t xml:space="preserve">18)</w:t>
      </w:r>
      <w:r>
        <w:t xml:space="preserve"> </w:t>
      </w:r>
      <w:r>
        <w:t xml:space="preserve">в</w:t>
      </w:r>
      <w:r>
        <w:t xml:space="preserve"> пункте 16.6:</w:t>
      </w:r>
      <w:r/>
    </w:p>
    <w:p>
      <w:pPr>
        <w:widowControl/>
      </w:pPr>
      <w:r>
        <w:t xml:space="preserve">а</w:t>
      </w:r>
      <w:r>
        <w:t xml:space="preserve">) абзац перв</w:t>
      </w:r>
      <w:r>
        <w:t xml:space="preserve">ый</w:t>
      </w:r>
      <w:r>
        <w:t xml:space="preserve"> после </w:t>
      </w:r>
      <w:r>
        <w:t xml:space="preserve">слов</w:t>
      </w:r>
      <w:r>
        <w:t xml:space="preserve">а</w:t>
      </w:r>
      <w:r>
        <w:t xml:space="preserve"> «</w:t>
      </w:r>
      <w:r>
        <w:t xml:space="preserve">включении</w:t>
      </w:r>
      <w:r>
        <w:t xml:space="preserve">» дополнить словами </w:t>
      </w:r>
      <w:r>
        <w:t xml:space="preserve">«места размещения</w:t>
      </w:r>
      <w:r>
        <w:t xml:space="preserve">»</w:t>
      </w:r>
      <w:r>
        <w:t xml:space="preserve">;</w:t>
      </w:r>
      <w:r/>
    </w:p>
    <w:p>
      <w:pPr>
        <w:widowControl/>
      </w:pPr>
      <w:r>
        <w:t xml:space="preserve">б</w:t>
      </w:r>
      <w:r>
        <w:t xml:space="preserve">) </w:t>
      </w:r>
      <w:r>
        <w:t xml:space="preserve">подпункт 4</w:t>
      </w:r>
      <w:r>
        <w:t xml:space="preserve"> </w:t>
      </w:r>
      <w:r>
        <w:t xml:space="preserve">изложить </w:t>
      </w:r>
      <w:r>
        <w:t xml:space="preserve">в следующей редакции:</w:t>
      </w:r>
      <w:r/>
    </w:p>
    <w:p>
      <w:pPr>
        <w:widowControl/>
      </w:pPr>
      <w:r>
        <w:t xml:space="preserve">«4) </w:t>
      </w:r>
      <w:r>
        <w:t xml:space="preserve">представленные документы не соответствуют требованиям, определенным пунктом 16.4 настоящего Порядка, либо не представлены (представлены не в полном объеме) указанные документы</w:t>
      </w:r>
      <w:r>
        <w:t xml:space="preserve"> </w:t>
      </w:r>
      <w:r>
        <w:t xml:space="preserve">(за исключением </w:t>
      </w:r>
      <w:r>
        <w:t xml:space="preserve">документов, запрашиваемых уполномоченны</w:t>
      </w:r>
      <w:r>
        <w:t xml:space="preserve">м</w:t>
      </w:r>
      <w:r>
        <w:t xml:space="preserve"> орган</w:t>
      </w:r>
      <w:r>
        <w:t xml:space="preserve">ом</w:t>
      </w:r>
      <w:r>
        <w:t xml:space="preserve"> местного самоуправления в порядке межведомственного взаимодействия)</w:t>
      </w:r>
      <w:r>
        <w:t xml:space="preserve">;»;</w:t>
      </w:r>
      <w:r/>
    </w:p>
    <w:p>
      <w:pPr>
        <w:widowControl/>
      </w:pPr>
      <w:r>
        <w:t xml:space="preserve">в</w:t>
      </w:r>
      <w:r>
        <w:t xml:space="preserve">) после </w:t>
      </w:r>
      <w:r>
        <w:t xml:space="preserve">подпункта 5</w:t>
      </w:r>
      <w:r>
        <w:t xml:space="preserve"> дополнить </w:t>
      </w:r>
      <w:r>
        <w:t xml:space="preserve">подпунктом 6</w:t>
      </w:r>
      <w:r>
        <w:t xml:space="preserve"> следующего содержания:</w:t>
      </w:r>
      <w:r/>
    </w:p>
    <w:p>
      <w:pPr>
        <w:widowControl/>
      </w:pPr>
      <w:r>
        <w:t xml:space="preserve">«6) принято</w:t>
      </w:r>
      <w:r>
        <w:t xml:space="preserve"> в установленном действующим законодательством</w:t>
      </w:r>
      <w:r>
        <w:t xml:space="preserve"> порядке</w:t>
      </w:r>
      <w:r>
        <w:t xml:space="preserve"> решение о пр</w:t>
      </w:r>
      <w:r>
        <w:t xml:space="preserve">оведении торгов по продаже земельного участка, </w:t>
      </w:r>
      <w:r>
        <w:t xml:space="preserve">на котором предполагается </w:t>
      </w:r>
      <w:r>
        <w:t xml:space="preserve">место </w:t>
      </w:r>
      <w:r>
        <w:t xml:space="preserve">размещени</w:t>
      </w:r>
      <w:r>
        <w:t xml:space="preserve">я</w:t>
      </w:r>
      <w:r>
        <w:t xml:space="preserve"> не</w:t>
      </w:r>
      <w:r>
        <w:t xml:space="preserve">стационарного торгового объекта</w:t>
      </w:r>
      <w:r>
        <w:t xml:space="preserve">.</w:t>
      </w:r>
      <w:r>
        <w:t xml:space="preserve">»;</w:t>
      </w:r>
      <w:r/>
    </w:p>
    <w:p>
      <w:pPr>
        <w:widowControl/>
      </w:pPr>
      <w:r>
        <w:t xml:space="preserve">19)</w:t>
      </w:r>
      <w:r>
        <w:t xml:space="preserve"> </w:t>
      </w:r>
      <w:r>
        <w:t xml:space="preserve">п</w:t>
      </w:r>
      <w:r>
        <w:t xml:space="preserve">осле пункта 16.6 дополнить пункт</w:t>
      </w:r>
      <w:r>
        <w:t xml:space="preserve">ами</w:t>
      </w:r>
      <w:r>
        <w:t xml:space="preserve"> 16.6.1 </w:t>
      </w:r>
      <w:r>
        <w:t xml:space="preserve">– 16.6.</w:t>
      </w:r>
      <w:r>
        <w:t xml:space="preserve">5</w:t>
      </w:r>
      <w:r>
        <w:t xml:space="preserve"> </w:t>
      </w:r>
      <w:r>
        <w:t xml:space="preserve">следующего содержания:</w:t>
      </w:r>
      <w:r/>
    </w:p>
    <w:p>
      <w:pPr>
        <w:widowControl/>
      </w:pPr>
      <w:r>
        <w:t xml:space="preserve">«16.6.1. </w:t>
      </w:r>
      <w:r>
        <w:t xml:space="preserve">Внесение изменений в Схему в части изменения </w:t>
      </w:r>
      <w:r>
        <w:t xml:space="preserve">и (или) дополнени</w:t>
      </w:r>
      <w:r>
        <w:t xml:space="preserve">я</w:t>
      </w:r>
      <w:r>
        <w:t xml:space="preserve"> </w:t>
      </w:r>
      <w:r>
        <w:t xml:space="preserve">специализации нестационарного торгового объекта осуществляется</w:t>
      </w:r>
      <w:r>
        <w:rPr>
          <w:color w:val="0070c0"/>
        </w:rPr>
        <w:t xml:space="preserve"> </w:t>
      </w:r>
      <w:r>
        <w:t xml:space="preserve">в следующих случаях:</w:t>
      </w:r>
      <w:r/>
    </w:p>
    <w:p>
      <w:pPr>
        <w:widowControl/>
      </w:pPr>
      <w:r>
        <w:t xml:space="preserve">1) по инициативе </w:t>
      </w:r>
      <w:r>
        <w:t xml:space="preserve">уполномоченного органа местного самоуправления</w:t>
      </w:r>
      <w:r>
        <w:t xml:space="preserve"> в отношении перспективных мест размещения нестационарных торговых объектов</w:t>
      </w:r>
      <w:r>
        <w:t xml:space="preserve">;</w:t>
      </w:r>
      <w:r/>
    </w:p>
    <w:p>
      <w:pPr>
        <w:widowControl/>
      </w:pPr>
      <w:r>
        <w:t xml:space="preserve">2) </w:t>
      </w:r>
      <w:r>
        <w:t xml:space="preserve">по</w:t>
      </w:r>
      <w:r>
        <w:t xml:space="preserve"> </w:t>
      </w:r>
      <w:r>
        <w:t xml:space="preserve">инициативе</w:t>
      </w:r>
      <w:r>
        <w:t xml:space="preserve"> </w:t>
      </w:r>
      <w:r>
        <w:t xml:space="preserve">хозяйствующ</w:t>
      </w:r>
      <w:r>
        <w:t xml:space="preserve">его</w:t>
      </w:r>
      <w:r>
        <w:t xml:space="preserve"> субъект</w:t>
      </w:r>
      <w:r>
        <w:t xml:space="preserve">а</w:t>
      </w:r>
      <w:r>
        <w:t xml:space="preserve">,</w:t>
      </w:r>
      <w:r>
        <w:t xml:space="preserve"> </w:t>
      </w:r>
      <w:r>
        <w:t xml:space="preserve">осуществляющего торговую деятельность в </w:t>
      </w:r>
      <w:r>
        <w:t xml:space="preserve">месте размещения </w:t>
      </w:r>
      <w:r>
        <w:t xml:space="preserve">нестационарно</w:t>
      </w:r>
      <w:r>
        <w:t xml:space="preserve">го</w:t>
      </w:r>
      <w:r>
        <w:t xml:space="preserve"> торгово</w:t>
      </w:r>
      <w:r>
        <w:t xml:space="preserve">го</w:t>
      </w:r>
      <w:r>
        <w:t xml:space="preserve"> объект</w:t>
      </w:r>
      <w:r>
        <w:t xml:space="preserve">а</w:t>
      </w:r>
      <w:r>
        <w:t xml:space="preserve">, включенном в Схему </w:t>
      </w:r>
      <w:r>
        <w:t xml:space="preserve">(далее</w:t>
      </w:r>
      <w:r>
        <w:t xml:space="preserve"> </w:t>
      </w:r>
      <w:r>
        <w:t xml:space="preserve">–</w:t>
      </w:r>
      <w:r>
        <w:t xml:space="preserve"> хозяйствующий субъект</w:t>
      </w:r>
      <w:r>
        <w:t xml:space="preserve">)</w:t>
      </w:r>
      <w:r>
        <w:t xml:space="preserve">,</w:t>
      </w:r>
      <w:r>
        <w:t xml:space="preserve"> </w:t>
      </w:r>
      <w:r>
        <w:t xml:space="preserve">при наличии соответствующего заявления</w:t>
      </w:r>
      <w:r>
        <w:t xml:space="preserve">.</w:t>
      </w:r>
      <w:r/>
    </w:p>
    <w:p>
      <w:pPr>
        <w:widowControl/>
      </w:pPr>
      <w:r>
        <w:t xml:space="preserve">16.6.2. </w:t>
      </w:r>
      <w:r>
        <w:t xml:space="preserve">Заявление о внесении изменений в Схему</w:t>
      </w:r>
      <w:r>
        <w:t xml:space="preserve"> </w:t>
      </w:r>
      <w:r>
        <w:t xml:space="preserve">в части изменения и (или) дополнения специализации нестационарного торгового объекта (далее</w:t>
      </w:r>
      <w:r>
        <w:t xml:space="preserve"> </w:t>
      </w:r>
      <w:r>
        <w:t xml:space="preserve">– заявление о внесении изменений в Схему</w:t>
      </w:r>
      <w:r>
        <w:t xml:space="preserve">)</w:t>
      </w:r>
      <w:r>
        <w:t xml:space="preserve"> </w:t>
      </w:r>
      <w:r>
        <w:t xml:space="preserve">направляется</w:t>
      </w:r>
      <w:r>
        <w:t xml:space="preserve"> хозяйствующим субъектом в</w:t>
      </w:r>
      <w:r>
        <w:t xml:space="preserve"> </w:t>
      </w:r>
      <w:r>
        <w:t xml:space="preserve">уполномоченный орган местного самоуправления в письменной форме или в</w:t>
      </w:r>
      <w:r>
        <w:t xml:space="preserve"> </w:t>
      </w:r>
      <w:r>
        <w:t xml:space="preserve">форме электронного документа</w:t>
      </w:r>
      <w:r>
        <w:t xml:space="preserve">.</w:t>
      </w:r>
      <w:r/>
    </w:p>
    <w:p>
      <w:pPr>
        <w:widowControl/>
      </w:pPr>
      <w:r>
        <w:t xml:space="preserve">Заявление о внесении изменений </w:t>
      </w:r>
      <w:r>
        <w:t xml:space="preserve">в Схему</w:t>
      </w:r>
      <w:r>
        <w:t xml:space="preserve"> </w:t>
      </w:r>
      <w:r>
        <w:t xml:space="preserve">должно содержать сведения о</w:t>
      </w:r>
      <w:r>
        <w:t xml:space="preserve"> </w:t>
      </w:r>
      <w:r>
        <w:t xml:space="preserve">хозяйствующем субъекте</w:t>
      </w:r>
      <w:r>
        <w:t xml:space="preserve"> (фамилия, имя, отчество (при наличии) индивидуального предпринимателя или полное наименование юридического лица), адресный ориентир – место размещения нестационарного торгового объекта, порядковый номер</w:t>
      </w:r>
      <w:r>
        <w:t xml:space="preserve"> места размещения нестационарного торгового объекта в Схеме, </w:t>
      </w:r>
      <w:r>
        <w:t xml:space="preserve">предполагаемую</w:t>
      </w:r>
      <w:r>
        <w:t xml:space="preserve"> специализацию нестационарного торгового объекта</w:t>
      </w:r>
      <w:r>
        <w:t xml:space="preserve">, почтовый адрес, в случае подачи заявления </w:t>
      </w:r>
      <w:r>
        <w:t xml:space="preserve">о внесении изменений </w:t>
      </w:r>
      <w:r>
        <w:t xml:space="preserve">в Схему</w:t>
      </w:r>
      <w:r>
        <w:t xml:space="preserve"> </w:t>
      </w:r>
      <w:r>
        <w:t xml:space="preserve">в письменной форме, либо адрес электронной почты, в случае подачи заявления</w:t>
      </w:r>
      <w:r>
        <w:t xml:space="preserve"> о внесении изменений </w:t>
      </w:r>
      <w:r>
        <w:t xml:space="preserve">в Схему</w:t>
      </w:r>
      <w:r>
        <w:t xml:space="preserve"> в форме электронного документа, согласие на обработку персональных</w:t>
      </w:r>
      <w:r>
        <w:t xml:space="preserve"> данных.</w:t>
      </w:r>
      <w:r/>
    </w:p>
    <w:p>
      <w:pPr>
        <w:widowControl/>
      </w:pPr>
      <w:r>
        <w:t xml:space="preserve">16.6.3. </w:t>
      </w:r>
      <w:r>
        <w:t xml:space="preserve">Рассмотрение заявления о внесении изменений </w:t>
      </w:r>
      <w:r>
        <w:t xml:space="preserve">в Схему</w:t>
      </w:r>
      <w:r>
        <w:t xml:space="preserve"> </w:t>
      </w:r>
      <w:r>
        <w:t xml:space="preserve">и принятие решения</w:t>
      </w:r>
      <w:r>
        <w:t xml:space="preserve"> о внесении изменений в Схему </w:t>
      </w:r>
      <w:r>
        <w:t xml:space="preserve">в части изменения и (или) дополнения специализации нестационарного торгового объекта </w:t>
      </w:r>
      <w:r>
        <w:t xml:space="preserve">либо об отказе во внесении изменений в</w:t>
      </w:r>
      <w:r>
        <w:t xml:space="preserve"> </w:t>
      </w:r>
      <w:r>
        <w:t xml:space="preserve">Схему </w:t>
      </w:r>
      <w:r>
        <w:t xml:space="preserve">в части изменения и (или) дополнения специализации нестационарного торгового объекта </w:t>
      </w:r>
      <w:r>
        <w:t xml:space="preserve">осуществляется в</w:t>
      </w:r>
      <w:r>
        <w:t xml:space="preserve"> </w:t>
      </w:r>
      <w:r>
        <w:t xml:space="preserve">порядке и сроки, установленные пунктом 16.5 настоящего Порядка.</w:t>
      </w:r>
      <w:r/>
    </w:p>
    <w:p>
      <w:pPr>
        <w:widowControl/>
      </w:pPr>
      <w:r>
        <w:t xml:space="preserve">16.6.</w:t>
      </w:r>
      <w:r>
        <w:t xml:space="preserve">4</w:t>
      </w:r>
      <w:r>
        <w:t xml:space="preserve">. </w:t>
      </w:r>
      <w:r>
        <w:t xml:space="preserve">Уполномоченный орган местного самоуправления отказывает в</w:t>
      </w:r>
      <w:r>
        <w:t xml:space="preserve">о внесении изменений Схему в части изменения </w:t>
      </w:r>
      <w:r>
        <w:t xml:space="preserve">и (или) дополнени</w:t>
      </w:r>
      <w:r>
        <w:t xml:space="preserve">я</w:t>
      </w:r>
      <w:r>
        <w:t xml:space="preserve"> </w:t>
      </w:r>
      <w:r>
        <w:t xml:space="preserve">специализации нестационарного торгового объекта</w:t>
      </w:r>
      <w:r>
        <w:t xml:space="preserve"> в случа</w:t>
      </w:r>
      <w:r>
        <w:t xml:space="preserve">е</w:t>
      </w:r>
      <w:r>
        <w:t xml:space="preserve">,</w:t>
      </w:r>
      <w:r>
        <w:t xml:space="preserve"> если</w:t>
      </w:r>
      <w:r>
        <w:t xml:space="preserve">:</w:t>
      </w:r>
      <w:r/>
    </w:p>
    <w:p>
      <w:pPr>
        <w:widowControl/>
      </w:pPr>
      <w:r>
        <w:t xml:space="preserve">1)</w:t>
      </w:r>
      <w:r>
        <w:t xml:space="preserve"> </w:t>
      </w:r>
      <w:r>
        <w:t xml:space="preserve">заявление о внесении изменений </w:t>
      </w:r>
      <w:r>
        <w:t xml:space="preserve">в Схему</w:t>
      </w:r>
      <w:r>
        <w:t xml:space="preserve"> </w:t>
      </w:r>
      <w:r>
        <w:t xml:space="preserve">представлено</w:t>
      </w:r>
      <w:r>
        <w:t xml:space="preserve"> лицом, не соответствующим условиям, установленным в </w:t>
      </w:r>
      <w:r>
        <w:t xml:space="preserve">подпункте 2</w:t>
      </w:r>
      <w:r>
        <w:t xml:space="preserve"> пункта</w:t>
      </w:r>
      <w:r>
        <w:t xml:space="preserve"> </w:t>
      </w:r>
      <w:r>
        <w:t xml:space="preserve">16.6.1 настоящего Порядка</w:t>
      </w:r>
      <w:r>
        <w:t xml:space="preserve">;</w:t>
      </w:r>
      <w:r/>
    </w:p>
    <w:p>
      <w:pPr>
        <w:widowControl/>
      </w:pPr>
      <w:r>
        <w:t xml:space="preserve">2)</w:t>
      </w:r>
      <w:r>
        <w:t xml:space="preserve"> заявление</w:t>
      </w:r>
      <w:r>
        <w:t xml:space="preserve"> </w:t>
      </w:r>
      <w:r>
        <w:t xml:space="preserve">о внесении изменений </w:t>
      </w:r>
      <w:r>
        <w:t xml:space="preserve">в Схему</w:t>
      </w:r>
      <w:r>
        <w:t xml:space="preserve"> </w:t>
      </w:r>
      <w:r>
        <w:t xml:space="preserve">не соответствует</w:t>
      </w:r>
      <w:r>
        <w:t xml:space="preserve"> </w:t>
      </w:r>
      <w:r>
        <w:t xml:space="preserve">требовани</w:t>
      </w:r>
      <w:r>
        <w:t xml:space="preserve">ям</w:t>
      </w:r>
      <w:r>
        <w:t xml:space="preserve">, установленным </w:t>
      </w:r>
      <w:r>
        <w:t xml:space="preserve">пункт</w:t>
      </w:r>
      <w:r>
        <w:t xml:space="preserve">ом</w:t>
      </w:r>
      <w:r>
        <w:t xml:space="preserve"> 16.6.</w:t>
      </w:r>
      <w:r>
        <w:t xml:space="preserve">2</w:t>
      </w:r>
      <w:r>
        <w:t xml:space="preserve"> настоящего Порядка;</w:t>
      </w:r>
      <w:r/>
    </w:p>
    <w:p>
      <w:pPr>
        <w:widowControl/>
      </w:pPr>
      <w:r>
        <w:t xml:space="preserve">3)</w:t>
      </w:r>
      <w:r>
        <w:t xml:space="preserve"> </w:t>
      </w:r>
      <w:r>
        <w:t xml:space="preserve">получен отказ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имущества, о </w:t>
      </w:r>
      <w:r>
        <w:t xml:space="preserve">внесении изменений </w:t>
      </w:r>
      <w:r>
        <w:t xml:space="preserve">в Схему в </w:t>
      </w:r>
      <w:r>
        <w:t xml:space="preserve">части изменения и (или) дополнени</w:t>
      </w:r>
      <w:r>
        <w:t xml:space="preserve">я</w:t>
      </w:r>
      <w:r>
        <w:t xml:space="preserve"> </w:t>
      </w:r>
      <w:r>
        <w:t xml:space="preserve">специализации </w:t>
      </w:r>
      <w:r>
        <w:t xml:space="preserve">нестационарных торговых объектов, расположенных на земельных участках, в</w:t>
      </w:r>
      <w:r>
        <w:t xml:space="preserve"> </w:t>
      </w:r>
      <w:r>
        <w:t xml:space="preserve">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</w:t>
      </w:r>
      <w:r>
        <w:t xml:space="preserve">.</w:t>
      </w:r>
      <w:r/>
    </w:p>
    <w:p>
      <w:pPr>
        <w:widowControl/>
      </w:pPr>
      <w:r>
        <w:t xml:space="preserve">16.6.</w:t>
      </w:r>
      <w:r>
        <w:t xml:space="preserve">5</w:t>
      </w:r>
      <w:r>
        <w:t xml:space="preserve">. Действи</w:t>
      </w:r>
      <w:r>
        <w:t xml:space="preserve">е</w:t>
      </w:r>
      <w:r>
        <w:t xml:space="preserve"> пунктов 16.6.1 – 16.6.</w:t>
      </w:r>
      <w:r>
        <w:t xml:space="preserve">4</w:t>
      </w:r>
      <w:r>
        <w:t xml:space="preserve"> не распространяется на места размещения нестационарных торговых объектов, включенных в Схему со специализацией «Печатная продукция, пресса».»</w:t>
      </w:r>
      <w:r>
        <w:t xml:space="preserve">;</w:t>
      </w:r>
      <w:r/>
    </w:p>
    <w:p>
      <w:pPr>
        <w:widowControl/>
      </w:pPr>
      <w:r>
        <w:t xml:space="preserve">20)</w:t>
      </w:r>
      <w:r>
        <w:t xml:space="preserve"> </w:t>
      </w:r>
      <w:r>
        <w:t xml:space="preserve">п</w:t>
      </w:r>
      <w:r>
        <w:t xml:space="preserve">ункт 16.7 изложить в следующей редакции:</w:t>
      </w:r>
      <w:r/>
    </w:p>
    <w:p>
      <w:pPr>
        <w:widowControl/>
      </w:pPr>
      <w:r>
        <w:t xml:space="preserve">«16.7. </w:t>
      </w:r>
      <w:r>
        <w:t xml:space="preserve">В случае принятия решения, указанного в пункте 16.5 настоящего Порядка</w:t>
      </w:r>
      <w:r>
        <w:t xml:space="preserve">,</w:t>
      </w:r>
      <w:r>
        <w:t xml:space="preserve"> о включении места размещения </w:t>
      </w:r>
      <w:r>
        <w:t xml:space="preserve">не</w:t>
      </w:r>
      <w:r>
        <w:t xml:space="preserve">стационарного торгового объекта в</w:t>
      </w:r>
      <w:r>
        <w:t xml:space="preserve"> </w:t>
      </w:r>
      <w:r>
        <w:t xml:space="preserve">Схему, и</w:t>
      </w:r>
      <w:r>
        <w:t xml:space="preserve"> (или) решения</w:t>
      </w:r>
      <w:r>
        <w:t xml:space="preserve">, указанного пункте 16.6.3 настоящего Порядка</w:t>
      </w:r>
      <w:r>
        <w:t xml:space="preserve">,</w:t>
      </w:r>
      <w:r>
        <w:t xml:space="preserve"> </w:t>
      </w:r>
      <w:r>
        <w:t xml:space="preserve">о</w:t>
      </w:r>
      <w:r>
        <w:t xml:space="preserve"> </w:t>
      </w:r>
      <w:r>
        <w:t xml:space="preserve">внесении изменений в Схему в части </w:t>
      </w:r>
      <w:r>
        <w:t xml:space="preserve">изменения и (или) дополнени</w:t>
      </w:r>
      <w:r>
        <w:t xml:space="preserve">я</w:t>
      </w:r>
      <w:r>
        <w:t xml:space="preserve"> </w:t>
      </w:r>
      <w:r>
        <w:t xml:space="preserve">специализации нестационарного торгового объекта</w:t>
      </w:r>
      <w:r>
        <w:t xml:space="preserve">,</w:t>
      </w:r>
      <w:r>
        <w:t xml:space="preserve"> внесение изменений в </w:t>
      </w:r>
      <w:r>
        <w:t xml:space="preserve">С</w:t>
      </w:r>
      <w:r>
        <w:t xml:space="preserve">хему осуществляется уполномоченным органом местного самоуправления не позднее </w:t>
      </w:r>
      <w:r>
        <w:t xml:space="preserve">3</w:t>
      </w:r>
      <w:r>
        <w:t xml:space="preserve">0</w:t>
      </w:r>
      <w:r>
        <w:t xml:space="preserve"> рабочих дней со дня принятия соответствующего решения</w:t>
      </w:r>
      <w:r>
        <w:t xml:space="preserve">.»</w:t>
      </w:r>
      <w:r>
        <w:t xml:space="preserve">;</w:t>
      </w:r>
      <w:r/>
    </w:p>
    <w:p>
      <w:pPr>
        <w:widowControl/>
      </w:pPr>
      <w:r>
        <w:t xml:space="preserve">21)</w:t>
      </w:r>
      <w:r>
        <w:t xml:space="preserve"> в пункте 17 слово «указанной» исключить;</w:t>
      </w:r>
      <w:r/>
    </w:p>
    <w:p>
      <w:pPr>
        <w:widowControl/>
      </w:pPr>
      <w:r>
        <w:t xml:space="preserve">22)</w:t>
      </w:r>
      <w:r>
        <w:t xml:space="preserve"> </w:t>
      </w:r>
      <w:r>
        <w:t xml:space="preserve">п</w:t>
      </w:r>
      <w:r>
        <w:t xml:space="preserve">ункт 19 изложить в следующей редакции:</w:t>
      </w:r>
      <w:r/>
    </w:p>
    <w:p>
      <w:pPr>
        <w:widowControl/>
      </w:pPr>
      <w:r>
        <w:t xml:space="preserve">«19. </w:t>
      </w:r>
      <w:r>
        <w:t xml:space="preserve">В течение </w:t>
      </w:r>
      <w:r>
        <w:t xml:space="preserve">пяти</w:t>
      </w:r>
      <w:r>
        <w:t xml:space="preserve"> рабочих дней </w:t>
      </w:r>
      <w:r>
        <w:t xml:space="preserve">со дня</w:t>
      </w:r>
      <w:r>
        <w:t xml:space="preserve"> утверждения Схемы или внесения в</w:t>
      </w:r>
      <w:r>
        <w:t xml:space="preserve"> </w:t>
      </w:r>
      <w:r>
        <w:t xml:space="preserve">нее изменений уполномоченный орган местного самоуправления представляет в</w:t>
      </w:r>
      <w:r>
        <w:t xml:space="preserve"> </w:t>
      </w:r>
      <w:r>
        <w:t xml:space="preserve">министерство промышленности, торговли и развития предпринимательства Новосибирской области (далее </w:t>
      </w:r>
      <w:r>
        <w:t xml:space="preserve">– </w:t>
      </w:r>
      <w:r>
        <w:t xml:space="preserve">Минпромторг НСО) соответствующий муниципальный правовой акт </w:t>
      </w:r>
      <w:r>
        <w:t xml:space="preserve">в письменной форме по почтовому адресу</w:t>
      </w:r>
      <w:r>
        <w:t xml:space="preserve"> </w:t>
      </w:r>
      <w:r>
        <w:t xml:space="preserve">или </w:t>
      </w:r>
      <w:r>
        <w:t xml:space="preserve">в форме электронного документа по адресу электронной почты: </w:t>
      </w:r>
      <w:r>
        <w:t xml:space="preserve">mtv@nso.ru</w:t>
      </w:r>
      <w:r>
        <w:t xml:space="preserve"> </w:t>
      </w:r>
      <w:r>
        <w:t xml:space="preserve">или посредством </w:t>
      </w:r>
      <w:r>
        <w:t xml:space="preserve">СЭДД</w:t>
      </w:r>
      <w:r>
        <w:t xml:space="preserve">.»;</w:t>
      </w:r>
      <w:r/>
    </w:p>
    <w:p>
      <w:pPr>
        <w:widowControl/>
      </w:pPr>
      <w:r>
        <w:t xml:space="preserve">23)</w:t>
      </w:r>
      <w:r>
        <w:t xml:space="preserve"> </w:t>
      </w:r>
      <w:r>
        <w:t xml:space="preserve">в</w:t>
      </w:r>
      <w:r>
        <w:t xml:space="preserve"> подпункте 2 пункта 20 слова «</w:t>
      </w:r>
      <w:r>
        <w:t xml:space="preserve">5 рабочих дней со дня ее предоставления уполномоченным органом местного самоуправления</w:t>
      </w:r>
      <w:r>
        <w:t xml:space="preserve">» заменить словами «пяти</w:t>
      </w:r>
      <w:r>
        <w:t xml:space="preserve"> рабочих дней со дня ее</w:t>
      </w:r>
      <w:r>
        <w:t xml:space="preserve"> поступления в Минпромторг НСО»;</w:t>
      </w:r>
      <w:r/>
    </w:p>
    <w:p>
      <w:pPr>
        <w:widowControl/>
      </w:pPr>
      <w:r>
        <w:t xml:space="preserve">24)</w:t>
      </w:r>
      <w:r>
        <w:t xml:space="preserve"> в пункте 21</w:t>
      </w:r>
      <w:r>
        <w:t xml:space="preserve"> слова «</w:t>
      </w:r>
      <w:r>
        <w:t xml:space="preserve">Органы местного самоуправления муниципальных образований</w:t>
      </w:r>
      <w:r>
        <w:t xml:space="preserve"> </w:t>
      </w:r>
      <w:r>
        <w:t xml:space="preserve">осуществляют</w:t>
      </w:r>
      <w:r>
        <w:t xml:space="preserve">» заменить словами «Уполномочен</w:t>
      </w:r>
      <w:r>
        <w:t xml:space="preserve">ный орган местного самоуправления</w:t>
      </w:r>
      <w:r>
        <w:t xml:space="preserve"> осуществляет»;</w:t>
      </w:r>
      <w:r/>
    </w:p>
    <w:p>
      <w:pPr>
        <w:widowControl/>
      </w:pPr>
      <w:r>
        <w:t xml:space="preserve">25)</w:t>
      </w:r>
      <w:r>
        <w:t xml:space="preserve"> </w:t>
      </w:r>
      <w:r>
        <w:t xml:space="preserve">приложени</w:t>
      </w:r>
      <w:r>
        <w:t xml:space="preserve">е</w:t>
      </w:r>
      <w:r>
        <w:t xml:space="preserve"> к</w:t>
      </w:r>
      <w:r>
        <w:t xml:space="preserve"> Порядку</w:t>
      </w:r>
      <w:r>
        <w:t xml:space="preserve"> изложить в редакции согласно приложению к настоящему приказу.</w:t>
      </w:r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jc w:val="center"/>
        <w:widowControl/>
        <w:sectPr>
          <w:headerReference w:type="default" r:id="rId9"/>
          <w:footnotePr>
            <w:numRestart w:val="eachSect"/>
          </w:footnotePr>
          <w:endnotePr/>
          <w:type w:val="continuous"/>
          <w:pgSz w:w="11907" w:h="16840" w:orient="portrait"/>
          <w:pgMar w:top="567" w:right="567" w:bottom="1134" w:left="1418" w:header="567" w:footer="567" w:gutter="0"/>
          <w:cols w:num="1" w:sep="0" w:space="709" w:equalWidth="1"/>
          <w:docGrid w:linePitch="360"/>
          <w:titlePg/>
        </w:sectPr>
      </w:pPr>
      <w:r>
        <w:t xml:space="preserve">_______________________________</w:t>
      </w:r>
      <w:r/>
    </w:p>
    <w:p>
      <w:pPr>
        <w:ind w:firstLine="10490"/>
        <w:jc w:val="center"/>
        <w:widowControl/>
      </w:pPr>
      <w:r>
        <w:t xml:space="preserve">ПРИЛОЖЕНИЕ</w:t>
      </w:r>
      <w:r/>
    </w:p>
    <w:p>
      <w:pPr>
        <w:ind w:firstLine="10490"/>
        <w:jc w:val="center"/>
        <w:widowControl/>
      </w:pPr>
      <w:r>
        <w:t xml:space="preserve">к приказу министерства</w:t>
      </w:r>
      <w:r/>
    </w:p>
    <w:p>
      <w:pPr>
        <w:ind w:firstLine="10490"/>
        <w:jc w:val="center"/>
        <w:widowControl/>
      </w:pPr>
      <w:r>
        <w:t xml:space="preserve">промышленности, торговли</w:t>
      </w:r>
      <w:r/>
    </w:p>
    <w:p>
      <w:pPr>
        <w:ind w:firstLine="10490"/>
        <w:jc w:val="center"/>
        <w:widowControl/>
      </w:pPr>
      <w:r>
        <w:t xml:space="preserve">и развития предпринимательства</w:t>
      </w:r>
      <w:r/>
    </w:p>
    <w:p>
      <w:pPr>
        <w:ind w:firstLine="10490"/>
        <w:jc w:val="center"/>
        <w:widowControl/>
      </w:pPr>
      <w:r>
        <w:t xml:space="preserve">Новосибирской области</w:t>
      </w:r>
      <w:r/>
    </w:p>
    <w:p>
      <w:pPr>
        <w:ind w:firstLine="10490"/>
        <w:jc w:val="center"/>
        <w:widowControl/>
      </w:pPr>
      <w:r>
        <w:t xml:space="preserve">от </w:t>
      </w:r>
      <w:r>
        <w:t xml:space="preserve">12</w:t>
      </w:r>
      <w:r>
        <w:t xml:space="preserve">.</w:t>
      </w:r>
      <w:r>
        <w:t xml:space="preserve">12</w:t>
      </w:r>
      <w:r>
        <w:t xml:space="preserve">.2024 №</w:t>
      </w:r>
      <w:bookmarkStart w:id="0" w:name="_GoBack"/>
      <w:r/>
      <w:bookmarkEnd w:id="0"/>
      <w:r>
        <w:t xml:space="preserve"> 398</w:t>
      </w:r>
      <w:r>
        <w:t xml:space="preserve">-НПА</w:t>
      </w:r>
      <w:r/>
    </w:p>
    <w:p>
      <w:pPr>
        <w:ind w:firstLine="10490"/>
        <w:jc w:val="center"/>
        <w:widowControl/>
      </w:pPr>
      <w:r/>
      <w:r/>
    </w:p>
    <w:p>
      <w:pPr>
        <w:ind w:firstLine="10490"/>
        <w:jc w:val="center"/>
        <w:widowControl/>
      </w:pPr>
      <w:r/>
      <w:r/>
    </w:p>
    <w:p>
      <w:pPr>
        <w:ind w:firstLine="10490"/>
        <w:jc w:val="center"/>
        <w:widowControl/>
      </w:pPr>
      <w:r>
        <w:t xml:space="preserve">«Приложение</w:t>
      </w:r>
      <w:r/>
    </w:p>
    <w:p>
      <w:pPr>
        <w:ind w:firstLine="10490"/>
        <w:jc w:val="center"/>
        <w:widowControl/>
      </w:pPr>
      <w:r>
        <w:t xml:space="preserve">к Порядку разработки и утверждения</w:t>
      </w:r>
      <w:r/>
    </w:p>
    <w:p>
      <w:pPr>
        <w:ind w:firstLine="10490"/>
        <w:jc w:val="center"/>
        <w:widowControl/>
      </w:pPr>
      <w:r>
        <w:t xml:space="preserve">органами местного самоуправления</w:t>
      </w:r>
      <w:r/>
    </w:p>
    <w:p>
      <w:pPr>
        <w:ind w:firstLine="10490"/>
        <w:jc w:val="center"/>
        <w:widowControl/>
      </w:pPr>
      <w:r>
        <w:t xml:space="preserve">муниципальных образований</w:t>
      </w:r>
      <w:r/>
    </w:p>
    <w:p>
      <w:pPr>
        <w:ind w:firstLine="10490"/>
        <w:jc w:val="center"/>
        <w:widowControl/>
      </w:pPr>
      <w:r>
        <w:t xml:space="preserve">Новосибирской области</w:t>
      </w:r>
      <w:r/>
    </w:p>
    <w:p>
      <w:pPr>
        <w:ind w:firstLine="10490"/>
        <w:jc w:val="center"/>
        <w:widowControl/>
      </w:pPr>
      <w:r>
        <w:t xml:space="preserve">схемы размещения нестационарных</w:t>
      </w:r>
      <w:r/>
    </w:p>
    <w:p>
      <w:pPr>
        <w:ind w:firstLine="10490"/>
        <w:jc w:val="center"/>
        <w:widowControl/>
      </w:pPr>
      <w:r>
        <w:t xml:space="preserve">торговых объектов</w:t>
      </w:r>
      <w:r/>
    </w:p>
    <w:p>
      <w:pPr>
        <w:ind w:firstLine="0"/>
        <w:widowControl/>
      </w:pPr>
      <w:r/>
      <w:r/>
    </w:p>
    <w:p>
      <w:pPr>
        <w:ind w:firstLine="0"/>
        <w:jc w:val="right"/>
        <w:widowControl/>
      </w:pPr>
      <w:r>
        <w:t xml:space="preserve">Форма</w:t>
      </w:r>
      <w:r/>
    </w:p>
    <w:p>
      <w:pPr>
        <w:ind w:firstLine="0"/>
        <w:jc w:val="right"/>
        <w:widowControl/>
      </w:pPr>
      <w:r/>
      <w:r/>
    </w:p>
    <w:p>
      <w:pPr>
        <w:ind w:firstLine="0"/>
        <w:jc w:val="center"/>
        <w:spacing w:line="240" w:lineRule="atLeast"/>
        <w:widowControl/>
      </w:pPr>
      <w:r/>
      <w:bookmarkStart w:id="1" w:name="Par74"/>
      <w:r/>
      <w:bookmarkEnd w:id="1"/>
      <w:r>
        <w:t xml:space="preserve">Схема</w:t>
      </w:r>
      <w:r/>
    </w:p>
    <w:p>
      <w:pPr>
        <w:ind w:firstLine="0"/>
        <w:jc w:val="center"/>
        <w:spacing w:line="240" w:lineRule="atLeast"/>
        <w:widowControl/>
      </w:pPr>
      <w:r>
        <w:t xml:space="preserve">размещения нестационарных торговых объектов</w:t>
      </w:r>
      <w:r/>
    </w:p>
    <w:p>
      <w:pPr>
        <w:ind w:firstLine="0"/>
        <w:jc w:val="center"/>
        <w:spacing w:line="240" w:lineRule="atLeast"/>
        <w:widowControl/>
      </w:pPr>
      <w:r>
        <w:t xml:space="preserve">на территории</w:t>
      </w:r>
      <w:r/>
    </w:p>
    <w:p>
      <w:pPr>
        <w:ind w:firstLine="0"/>
        <w:jc w:val="center"/>
        <w:spacing w:line="240" w:lineRule="atLeast"/>
        <w:widowControl/>
      </w:pPr>
      <w:r>
        <w:t xml:space="preserve">_____________________</w:t>
      </w:r>
      <w:r>
        <w:t xml:space="preserve">_______________________________</w:t>
      </w:r>
      <w:r/>
    </w:p>
    <w:p>
      <w:pPr>
        <w:ind w:firstLine="0"/>
        <w:jc w:val="center"/>
        <w:widowControl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(наименование муниципального </w:t>
      </w:r>
      <w:r>
        <w:rPr>
          <w:sz w:val="24"/>
          <w:vertAlign w:val="superscript"/>
        </w:rPr>
        <w:t xml:space="preserve">образования Новосибирской области</w:t>
      </w:r>
      <w:r>
        <w:rPr>
          <w:sz w:val="24"/>
          <w:vertAlign w:val="superscript"/>
        </w:rPr>
        <w:t xml:space="preserve">)</w:t>
      </w:r>
      <w:r>
        <w:rPr>
          <w:sz w:val="24"/>
          <w:vertAlign w:val="superscript"/>
        </w:rPr>
      </w:r>
    </w:p>
    <w:p>
      <w:pPr>
        <w:ind w:firstLine="0"/>
        <w:jc w:val="center"/>
        <w:widowControl/>
        <w:rPr>
          <w:sz w:val="20"/>
          <w:szCs w:val="16"/>
        </w:rPr>
        <w:sectPr>
          <w:footnotePr>
            <w:numRestart w:val="eachSect"/>
          </w:footnotePr>
          <w:endnotePr/>
          <w:type w:val="nextPage"/>
          <w:pgSz w:w="16840" w:h="11907" w:orient="landscape"/>
          <w:pgMar w:top="1418" w:right="567" w:bottom="567" w:left="1134" w:header="567" w:footer="567" w:gutter="0"/>
          <w:pgNumType w:start="1"/>
          <w:cols w:num="1" w:sep="0" w:space="709" w:equalWidth="1"/>
          <w:docGrid w:linePitch="360"/>
          <w:titlePg/>
        </w:sectPr>
      </w:pPr>
      <w:r>
        <w:rPr>
          <w:sz w:val="20"/>
          <w:szCs w:val="16"/>
        </w:rPr>
      </w:r>
      <w:r>
        <w:rPr>
          <w:sz w:val="20"/>
          <w:szCs w:val="16"/>
        </w:rPr>
      </w:r>
    </w:p>
    <w:p>
      <w:pPr>
        <w:ind w:firstLine="0"/>
        <w:jc w:val="center"/>
        <w:widowControl/>
        <w:rPr>
          <w:sz w:val="20"/>
          <w:szCs w:val="16"/>
        </w:rPr>
        <w:sectPr>
          <w:footnotePr>
            <w:numRestart w:val="eachSect"/>
          </w:footnotePr>
          <w:endnotePr/>
          <w:type w:val="continuous"/>
          <w:pgSz w:w="16840" w:h="11907" w:orient="landscape"/>
          <w:pgMar w:top="1418" w:right="567" w:bottom="567" w:left="1134" w:header="567" w:footer="567" w:gutter="0"/>
          <w:pgNumType w:start="1"/>
          <w:cols w:num="1" w:sep="0" w:space="709" w:equalWidth="1"/>
          <w:docGrid w:linePitch="360"/>
          <w:titlePg/>
        </w:sectPr>
      </w:pPr>
      <w:r>
        <w:rPr>
          <w:sz w:val="20"/>
          <w:szCs w:val="16"/>
        </w:rPr>
      </w:r>
      <w:r>
        <w:rPr>
          <w:sz w:val="20"/>
          <w:szCs w:val="16"/>
        </w:rPr>
      </w:r>
    </w:p>
    <w:tbl>
      <w:tblPr>
        <w:tblW w:w="14981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000" w:firstRow="0" w:lastRow="0" w:firstColumn="0" w:lastColumn="0" w:noHBand="0" w:noVBand="0"/>
      </w:tblPr>
      <w:tblGrid>
        <w:gridCol w:w="1089"/>
        <w:gridCol w:w="1418"/>
        <w:gridCol w:w="1134"/>
        <w:gridCol w:w="1417"/>
        <w:gridCol w:w="1418"/>
        <w:gridCol w:w="1984"/>
        <w:gridCol w:w="2268"/>
        <w:gridCol w:w="2127"/>
        <w:gridCol w:w="2126"/>
      </w:tblGrid>
      <w:tr>
        <w:trPr>
          <w:trHeight w:val="1252"/>
        </w:trPr>
        <w:tc>
          <w:tcPr>
            <w:tcW w:w="108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Порядковый номер места размещения нестациона</w:t>
            </w:r>
            <w:r>
              <w:rPr>
                <w:sz w:val="20"/>
                <w:szCs w:val="16"/>
              </w:rPr>
              <w:t xml:space="preserve">рного торгового объекта</w:t>
            </w:r>
            <w:r>
              <w:rPr>
                <w:sz w:val="20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Адресный ориентир – место размещения нестационарного торгового </w:t>
            </w:r>
            <w:r>
              <w:rPr>
                <w:sz w:val="20"/>
                <w:szCs w:val="16"/>
              </w:rPr>
              <w:t xml:space="preserve">объекта</w:t>
            </w:r>
            <w:r>
              <w:rPr>
                <w:sz w:val="20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Тип нестационарного торгового объекта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rStyle w:val="714"/>
                <w:sz w:val="20"/>
                <w:szCs w:val="16"/>
              </w:rPr>
              <w:footnoteReference w:id="2"/>
            </w:r>
            <w:r>
              <w:rPr>
                <w:sz w:val="20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Количество нестационарных торговых объектов</w:t>
            </w:r>
            <w:r>
              <w:rPr>
                <w:sz w:val="20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Площадь места размещения нестационарного торгового объекта</w:t>
            </w:r>
            <w:r>
              <w:rPr>
                <w:sz w:val="20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Специализация нестационарного торгового объекта (ассортимент реализуемой продукции)</w:t>
            </w:r>
            <w:r>
              <w:rPr>
                <w:sz w:val="20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Собственник земельного участка, здания, строения, сооружения, на (в) котором размещен нестационарный торговый объект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(планируется размещени</w:t>
            </w:r>
            <w:r>
              <w:rPr>
                <w:sz w:val="20"/>
                <w:szCs w:val="16"/>
              </w:rPr>
              <w:t xml:space="preserve">е</w:t>
            </w:r>
            <w:r>
              <w:rPr>
                <w:sz w:val="20"/>
                <w:szCs w:val="16"/>
              </w:rPr>
              <w:t xml:space="preserve"> нестационарн</w:t>
            </w:r>
            <w:r>
              <w:rPr>
                <w:sz w:val="20"/>
                <w:szCs w:val="16"/>
              </w:rPr>
              <w:t xml:space="preserve">ого</w:t>
            </w:r>
            <w:r>
              <w:rPr>
                <w:sz w:val="20"/>
                <w:szCs w:val="16"/>
              </w:rPr>
              <w:t xml:space="preserve"> торгов</w:t>
            </w:r>
            <w:r>
              <w:rPr>
                <w:sz w:val="20"/>
                <w:szCs w:val="16"/>
              </w:rPr>
              <w:t xml:space="preserve">ого</w:t>
            </w:r>
            <w:r>
              <w:rPr>
                <w:sz w:val="20"/>
                <w:szCs w:val="16"/>
              </w:rPr>
              <w:t xml:space="preserve"> объект</w:t>
            </w:r>
            <w:r>
              <w:rPr>
                <w:sz w:val="20"/>
                <w:szCs w:val="16"/>
              </w:rPr>
              <w:t xml:space="preserve">а</w:t>
            </w:r>
            <w:r>
              <w:rPr>
                <w:sz w:val="20"/>
                <w:szCs w:val="16"/>
              </w:rPr>
              <w:t xml:space="preserve">)</w:t>
            </w:r>
            <w:r>
              <w:rPr>
                <w:sz w:val="20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Период функционирования нестационарного торгового объекта (постоянно или сезонно с_____ по _______)</w:t>
            </w:r>
            <w:r>
              <w:rPr>
                <w:sz w:val="20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Примечание</w:t>
            </w:r>
            <w:r>
              <w:rPr>
                <w:sz w:val="20"/>
                <w:szCs w:val="16"/>
              </w:rPr>
              <w:t xml:space="preserve"> (</w:t>
            </w:r>
            <w:r>
              <w:rPr>
                <w:sz w:val="20"/>
                <w:szCs w:val="16"/>
              </w:rPr>
              <w:t xml:space="preserve">указывается только для постоянно</w:t>
            </w:r>
            <w:r>
              <w:rPr>
                <w:sz w:val="20"/>
                <w:szCs w:val="16"/>
              </w:rPr>
              <w:t xml:space="preserve">го периода</w:t>
            </w:r>
            <w:r>
              <w:rPr>
                <w:sz w:val="20"/>
                <w:szCs w:val="16"/>
              </w:rPr>
              <w:t xml:space="preserve"> функционир</w:t>
            </w:r>
            <w:r>
              <w:rPr>
                <w:sz w:val="20"/>
                <w:szCs w:val="16"/>
              </w:rPr>
              <w:t xml:space="preserve">ования</w:t>
            </w:r>
            <w:r>
              <w:rPr>
                <w:sz w:val="20"/>
                <w:szCs w:val="16"/>
              </w:rPr>
              <w:t xml:space="preserve"> нестационарн</w:t>
            </w:r>
            <w:r>
              <w:rPr>
                <w:sz w:val="20"/>
                <w:szCs w:val="16"/>
              </w:rPr>
              <w:t xml:space="preserve">ого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торгов</w:t>
            </w:r>
            <w:r>
              <w:rPr>
                <w:sz w:val="20"/>
                <w:szCs w:val="16"/>
              </w:rPr>
              <w:t xml:space="preserve">ого</w:t>
            </w:r>
            <w:r>
              <w:rPr>
                <w:sz w:val="20"/>
                <w:szCs w:val="16"/>
              </w:rPr>
              <w:t xml:space="preserve"> объект</w:t>
            </w:r>
            <w:r>
              <w:rPr>
                <w:sz w:val="20"/>
                <w:szCs w:val="16"/>
              </w:rPr>
              <w:t xml:space="preserve">а</w:t>
            </w:r>
            <w:r>
              <w:rPr>
                <w:sz w:val="20"/>
                <w:szCs w:val="16"/>
              </w:rPr>
              <w:t xml:space="preserve">)</w:t>
            </w:r>
            <w:r>
              <w:rPr>
                <w:sz w:val="20"/>
                <w:szCs w:val="16"/>
              </w:rPr>
              <w:t xml:space="preserve">:</w:t>
            </w:r>
            <w:r>
              <w:rPr>
                <w:sz w:val="20"/>
                <w:szCs w:val="16"/>
              </w:rPr>
            </w:r>
          </w:p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нестационарный торговый объект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размещен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/</w:t>
            </w:r>
            <w:r>
              <w:rPr>
                <w:sz w:val="20"/>
                <w:szCs w:val="16"/>
              </w:rPr>
              <w:t xml:space="preserve">перспективное место размещения нестационарного торгового объекта</w:t>
            </w:r>
            <w:r>
              <w:rPr>
                <w:sz w:val="20"/>
                <w:szCs w:val="16"/>
              </w:rPr>
            </w:r>
          </w:p>
        </w:tc>
      </w:tr>
      <w:tr>
        <w:trPr/>
        <w:tc>
          <w:tcPr>
            <w:tcW w:w="10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1</w:t>
            </w:r>
            <w:r>
              <w:rPr>
                <w:sz w:val="20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2</w:t>
            </w:r>
            <w:r>
              <w:rPr>
                <w:sz w:val="20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3</w:t>
            </w:r>
            <w:r>
              <w:rPr>
                <w:sz w:val="20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4</w:t>
            </w:r>
            <w:r>
              <w:rPr>
                <w:sz w:val="20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5</w:t>
            </w:r>
            <w:r>
              <w:rPr>
                <w:sz w:val="20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6</w:t>
            </w:r>
            <w:r>
              <w:rPr>
                <w:sz w:val="20"/>
                <w:szCs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7</w:t>
            </w:r>
            <w:r>
              <w:rPr>
                <w:sz w:val="20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8</w:t>
            </w:r>
            <w:r>
              <w:rPr>
                <w:sz w:val="20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9</w:t>
            </w:r>
            <w:r>
              <w:rPr>
                <w:sz w:val="20"/>
                <w:szCs w:val="16"/>
              </w:rPr>
            </w:r>
          </w:p>
        </w:tc>
      </w:tr>
    </w:tbl>
    <w:p>
      <w:pPr>
        <w:ind w:firstLine="0"/>
        <w:widowControl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jc w:val="center"/>
      </w:pPr>
      <w:r>
        <w:t xml:space="preserve">_____________»</w:t>
      </w:r>
      <w:r/>
    </w:p>
    <w:p>
      <w:pPr>
        <w:pStyle w:val="719"/>
        <w:ind w:firstLine="0"/>
      </w:pPr>
      <w:r/>
      <w:r/>
    </w:p>
    <w:p>
      <w:pPr>
        <w:ind w:firstLine="0"/>
        <w:jc w:val="center"/>
        <w:widowControl/>
      </w:pPr>
      <w:r>
        <w:t xml:space="preserve">_________</w:t>
      </w:r>
      <w:r>
        <w:t xml:space="preserve">_____</w:t>
      </w:r>
      <w:r/>
    </w:p>
    <w:sectPr>
      <w:footnotePr>
        <w:numFmt w:val="chicago"/>
        <w:numRestart w:val="eachSect"/>
      </w:footnotePr>
      <w:endnotePr/>
      <w:type w:val="continuous"/>
      <w:pgSz w:w="16840" w:h="11907" w:orient="landscape"/>
      <w:pgMar w:top="1418" w:right="567" w:bottom="567" w:left="1134" w:header="567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Baltica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firstLine="0"/>
      </w:pPr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12"/>
        <w:ind w:firstLine="0"/>
        <w:rPr>
          <w:sz w:val="18"/>
        </w:rPr>
      </w:pPr>
      <w:r>
        <w:rPr>
          <w:rStyle w:val="714"/>
          <w:sz w:val="18"/>
        </w:rPr>
        <w:footnoteRef/>
      </w:r>
      <w:r>
        <w:rPr>
          <w:sz w:val="18"/>
        </w:rPr>
        <w:t xml:space="preserve">Указывается тип нес</w:t>
      </w:r>
      <w:r>
        <w:rPr>
          <w:sz w:val="18"/>
        </w:rPr>
        <w:t xml:space="preserve">тационарного торгового объекта в соответствии с национальным стандартом Российской Федерации ГОСТ Р 51303-2023 «Торговля. Термины и определения», утвержденным приказом Федерального агентства по техническому регулированию и метрологии от 30.06.2023 № 469-ст</w:t>
      </w:r>
      <w:r>
        <w:rPr>
          <w:sz w:val="18"/>
        </w:rPr>
        <w:t xml:space="preserve">.</w:t>
      </w:r>
      <w:r>
        <w:rPr>
          <w:sz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7592217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70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704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5" w:hanging="885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559" w:hanging="99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700" w:hanging="99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0" w:hanging="2160"/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6"/>
    <w:link w:val="69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6"/>
    <w:link w:val="702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4"/>
    <w:uiPriority w:val="99"/>
  </w:style>
  <w:style w:type="character" w:styleId="45">
    <w:name w:val="Footer Char"/>
    <w:basedOn w:val="696"/>
    <w:link w:val="706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6"/>
    <w:uiPriority w:val="99"/>
  </w:style>
  <w:style w:type="table" w:styleId="4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2"/>
    <w:uiPriority w:val="99"/>
    <w:rPr>
      <w:sz w:val="18"/>
    </w:rPr>
  </w:style>
  <w:style w:type="character" w:styleId="179">
    <w:name w:val="Endnote Text Char"/>
    <w:link w:val="715"/>
    <w:uiPriority w:val="99"/>
    <w:rPr>
      <w:sz w:val="20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pPr>
      <w:ind w:firstLine="709"/>
      <w:jc w:val="both"/>
      <w:spacing w:after="0" w:line="240" w:lineRule="auto"/>
      <w:widowControl w:val="off"/>
    </w:pPr>
    <w:rPr>
      <w:sz w:val="28"/>
      <w:szCs w:val="28"/>
    </w:rPr>
  </w:style>
  <w:style w:type="paragraph" w:styleId="695">
    <w:name w:val="Heading 2"/>
    <w:basedOn w:val="694"/>
    <w:next w:val="694"/>
    <w:link w:val="699"/>
    <w:uiPriority w:val="99"/>
    <w:qFormat/>
    <w:pPr>
      <w:spacing w:before="120" w:after="120"/>
      <w:outlineLvl w:val="1"/>
    </w:p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2 Знак"/>
    <w:basedOn w:val="696"/>
    <w:link w:val="695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700" w:customStyle="1">
    <w:name w:val="Основной шрифт"/>
    <w:uiPriority w:val="99"/>
  </w:style>
  <w:style w:type="paragraph" w:styleId="701" w:customStyle="1">
    <w:name w:val="Eiio"/>
    <w:basedOn w:val="694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702">
    <w:name w:val="Title"/>
    <w:basedOn w:val="694"/>
    <w:link w:val="703"/>
    <w:uiPriority w:val="99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character" w:styleId="703" w:customStyle="1">
    <w:name w:val="Название Знак"/>
    <w:basedOn w:val="696"/>
    <w:link w:val="702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04">
    <w:name w:val="Header"/>
    <w:basedOn w:val="694"/>
    <w:link w:val="705"/>
    <w:uiPriority w:val="99"/>
    <w:pPr>
      <w:tabs>
        <w:tab w:val="center" w:pos="4536" w:leader="none"/>
        <w:tab w:val="right" w:pos="9072" w:leader="none"/>
      </w:tabs>
    </w:pPr>
  </w:style>
  <w:style w:type="character" w:styleId="705" w:customStyle="1">
    <w:name w:val="Верхний колонтитул Знак"/>
    <w:basedOn w:val="696"/>
    <w:link w:val="704"/>
    <w:uiPriority w:val="99"/>
    <w:rPr>
      <w:rFonts w:cs="Times New Roman"/>
      <w:sz w:val="28"/>
      <w:szCs w:val="28"/>
    </w:rPr>
  </w:style>
  <w:style w:type="paragraph" w:styleId="706">
    <w:name w:val="Footer"/>
    <w:basedOn w:val="694"/>
    <w:link w:val="707"/>
    <w:uiPriority w:val="99"/>
    <w:pPr>
      <w:tabs>
        <w:tab w:val="center" w:pos="4536" w:leader="none"/>
        <w:tab w:val="right" w:pos="9072" w:leader="none"/>
      </w:tabs>
    </w:pPr>
  </w:style>
  <w:style w:type="character" w:styleId="707" w:customStyle="1">
    <w:name w:val="Нижний колонтитул Знак"/>
    <w:basedOn w:val="696"/>
    <w:link w:val="706"/>
    <w:uiPriority w:val="99"/>
    <w:rPr>
      <w:rFonts w:cs="Times New Roman"/>
      <w:sz w:val="28"/>
      <w:szCs w:val="28"/>
    </w:rPr>
  </w:style>
  <w:style w:type="paragraph" w:styleId="708">
    <w:name w:val="Balloon Text"/>
    <w:basedOn w:val="694"/>
    <w:link w:val="709"/>
    <w:uiPriority w:val="99"/>
    <w:semiHidden/>
    <w:unhideWhenUsed/>
    <w:rPr>
      <w:rFonts w:ascii="Tahoma" w:hAnsi="Tahoma" w:cs="Tahoma"/>
      <w:sz w:val="16"/>
      <w:szCs w:val="16"/>
    </w:rPr>
  </w:style>
  <w:style w:type="character" w:styleId="709" w:customStyle="1">
    <w:name w:val="Текст выноски Знак"/>
    <w:basedOn w:val="696"/>
    <w:link w:val="708"/>
    <w:uiPriority w:val="99"/>
    <w:semiHidden/>
    <w:rPr>
      <w:rFonts w:ascii="Tahoma" w:hAnsi="Tahoma" w:cs="Tahoma"/>
      <w:sz w:val="16"/>
      <w:szCs w:val="16"/>
    </w:rPr>
  </w:style>
  <w:style w:type="paragraph" w:styleId="710" w:customStyle="1">
    <w:name w:val="ConsPlusNormal"/>
    <w:pPr>
      <w:spacing w:after="0" w:line="240" w:lineRule="auto"/>
    </w:pPr>
    <w:rPr>
      <w:sz w:val="28"/>
      <w:szCs w:val="28"/>
    </w:rPr>
  </w:style>
  <w:style w:type="paragraph" w:styleId="711">
    <w:name w:val="List Paragraph"/>
    <w:basedOn w:val="694"/>
    <w:uiPriority w:val="34"/>
    <w:qFormat/>
    <w:pPr>
      <w:contextualSpacing/>
      <w:ind w:left="720"/>
    </w:pPr>
  </w:style>
  <w:style w:type="paragraph" w:styleId="712">
    <w:name w:val="footnote text"/>
    <w:basedOn w:val="694"/>
    <w:link w:val="713"/>
    <w:uiPriority w:val="99"/>
    <w:semiHidden/>
    <w:unhideWhenUsed/>
    <w:rPr>
      <w:sz w:val="20"/>
      <w:szCs w:val="20"/>
    </w:rPr>
  </w:style>
  <w:style w:type="character" w:styleId="713" w:customStyle="1">
    <w:name w:val="Текст сноски Знак"/>
    <w:basedOn w:val="696"/>
    <w:link w:val="712"/>
    <w:uiPriority w:val="99"/>
    <w:semiHidden/>
    <w:rPr>
      <w:sz w:val="20"/>
      <w:szCs w:val="20"/>
    </w:rPr>
  </w:style>
  <w:style w:type="character" w:styleId="714">
    <w:name w:val="footnote reference"/>
    <w:basedOn w:val="696"/>
    <w:uiPriority w:val="99"/>
    <w:semiHidden/>
    <w:unhideWhenUsed/>
    <w:rPr>
      <w:rFonts w:cs="Times New Roman"/>
      <w:vertAlign w:val="superscript"/>
    </w:rPr>
  </w:style>
  <w:style w:type="paragraph" w:styleId="715">
    <w:name w:val="endnote text"/>
    <w:basedOn w:val="694"/>
    <w:link w:val="716"/>
    <w:uiPriority w:val="99"/>
    <w:semiHidden/>
    <w:unhideWhenUsed/>
    <w:rPr>
      <w:sz w:val="20"/>
      <w:szCs w:val="20"/>
    </w:rPr>
  </w:style>
  <w:style w:type="character" w:styleId="716" w:customStyle="1">
    <w:name w:val="Текст концевой сноски Знак"/>
    <w:basedOn w:val="696"/>
    <w:link w:val="715"/>
    <w:uiPriority w:val="99"/>
    <w:semiHidden/>
    <w:rPr>
      <w:sz w:val="20"/>
      <w:szCs w:val="20"/>
    </w:rPr>
  </w:style>
  <w:style w:type="character" w:styleId="717">
    <w:name w:val="endnote reference"/>
    <w:basedOn w:val="696"/>
    <w:uiPriority w:val="99"/>
    <w:semiHidden/>
    <w:unhideWhenUsed/>
    <w:rPr>
      <w:vertAlign w:val="superscript"/>
    </w:rPr>
  </w:style>
  <w:style w:type="character" w:styleId="718">
    <w:name w:val="Hyperlink"/>
    <w:basedOn w:val="696"/>
    <w:uiPriority w:val="99"/>
    <w:unhideWhenUsed/>
    <w:rPr>
      <w:color w:val="0000ff" w:themeColor="hyperlink"/>
      <w:u w:val="single"/>
    </w:rPr>
  </w:style>
  <w:style w:type="paragraph" w:styleId="719">
    <w:name w:val="No Spacing"/>
    <w:uiPriority w:val="1"/>
    <w:qFormat/>
    <w:pPr>
      <w:ind w:firstLine="709"/>
      <w:jc w:val="both"/>
      <w:spacing w:after="0" w:line="240" w:lineRule="auto"/>
      <w:widowControl w:val="off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4E3A12-FB59-4732-9C6B-D79D18CE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GlavPEU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3</cp:revision>
  <dcterms:created xsi:type="dcterms:W3CDTF">2024-12-12T08:30:00Z</dcterms:created>
  <dcterms:modified xsi:type="dcterms:W3CDTF">2024-12-19T03:45:24Z</dcterms:modified>
</cp:coreProperties>
</file>