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</w:pPr>
      <w:r>
        <w:rPr>
          <w:sz w:val="20"/>
          <w:szCs w:val="20"/>
        </w:rPr>
      </w:r>
      <w:r/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</w:p>
    <w:p>
      <w:pPr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ind w:firstLine="0"/>
        <w:jc w:val="center"/>
        <w:widowControl/>
      </w:pPr>
      <w:r>
        <w:t xml:space="preserve">24</w:t>
      </w:r>
      <w:r>
        <w:t xml:space="preserve">.0</w:t>
      </w:r>
      <w:r>
        <w:t xml:space="preserve">3</w:t>
      </w:r>
      <w:r>
        <w:t xml:space="preserve">.2025                                                                                                 № </w:t>
      </w:r>
      <w:r>
        <w:t xml:space="preserve">10</w:t>
      </w:r>
      <w:r>
        <w:t xml:space="preserve">7-НПА</w:t>
      </w:r>
      <w:r/>
    </w:p>
    <w:p>
      <w:pPr>
        <w:ind w:firstLine="0"/>
        <w:jc w:val="center"/>
        <w:widowControl/>
      </w:pPr>
      <w:r/>
      <w:r/>
    </w:p>
    <w:p>
      <w:pPr>
        <w:ind w:firstLine="0"/>
        <w:jc w:val="center"/>
        <w:widowControl/>
      </w:pPr>
      <w:r>
        <w:t xml:space="preserve">г. Новосибирск</w:t>
      </w:r>
      <w:r/>
    </w:p>
    <w:p>
      <w:pPr>
        <w:ind w:firstLine="0"/>
        <w:jc w:val="center"/>
        <w:widowControl/>
      </w:pPr>
      <w:r/>
      <w:r/>
    </w:p>
    <w:p>
      <w:pPr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 от 02.11.2011 № 192 </w:t>
      </w:r>
      <w:r/>
    </w:p>
    <w:p>
      <w:pPr>
        <w:jc w:val="center"/>
      </w:pPr>
      <w:r/>
      <w:r/>
    </w:p>
    <w:p>
      <w:pPr>
        <w:widowControl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 р и к а з ы в а ю:</w:t>
      </w:r>
      <w:r>
        <w:rPr>
          <w:b/>
        </w:rPr>
      </w:r>
    </w:p>
    <w:p>
      <w:r>
        <w:t xml:space="preserve">Внести в приказ министерства промышленности, торговли и развити</w:t>
      </w:r>
      <w:r>
        <w:t xml:space="preserve">я предпринимательства Новосибирской области от 02.11.2011 № 192 «Об утверждении Инструкции о порядке организации работы с обращениями граждан в министерстве промышленности, торговли и развития предпринимательства Новосибирской области» следующие изменения:</w:t>
      </w:r>
      <w:r/>
    </w:p>
    <w:p>
      <w:r>
        <w:t xml:space="preserve">В Инструкции о порядке организации работы с обращениями граждан в министерстве промышленности, торговли и развития предпринимательства Новосибирской области:</w:t>
      </w:r>
      <w:r/>
    </w:p>
    <w:p>
      <w:pPr>
        <w:rPr>
          <w:lang w:eastAsia="en-US"/>
        </w:rPr>
      </w:pPr>
      <w:r>
        <w:rPr>
          <w:lang w:eastAsia="en-US"/>
        </w:rPr>
        <w:t xml:space="preserve">1. Подпункт 2 </w:t>
      </w:r>
      <w:r>
        <w:rPr>
          <w:lang w:eastAsia="en-US"/>
        </w:rPr>
        <w:t xml:space="preserve">пункта 62.1 признать утратившим силу.</w:t>
      </w:r>
      <w:r>
        <w:rPr>
          <w:lang w:eastAsia="en-US"/>
        </w:rPr>
      </w:r>
    </w:p>
    <w:p>
      <w:pPr>
        <w:ind w:firstLine="708"/>
        <w:rPr>
          <w:lang w:eastAsia="en-US"/>
        </w:rPr>
      </w:pPr>
      <w:r>
        <w:rPr>
          <w:lang w:eastAsia="en-US"/>
        </w:rPr>
        <w:t xml:space="preserve">2. Дополнить пунктом 62.5 следующего содержания:</w:t>
      </w:r>
      <w:r>
        <w:rPr>
          <w:lang w:eastAsia="en-US"/>
        </w:rPr>
      </w:r>
    </w:p>
    <w:p>
      <w:r>
        <w:rPr>
          <w:lang w:eastAsia="en-US"/>
        </w:rPr>
        <w:t xml:space="preserve">«62.5 В соответствии с абзацем </w:t>
      </w:r>
      <w:r>
        <w:rPr>
          <w:lang w:eastAsia="en-US"/>
        </w:rPr>
        <w:t xml:space="preserve">восьмым</w:t>
      </w:r>
      <w:r>
        <w:rPr>
          <w:color w:val="ff0000"/>
          <w:lang w:eastAsia="en-US"/>
        </w:rPr>
        <w:t xml:space="preserve"> </w:t>
      </w:r>
      <w:r>
        <w:rPr>
          <w:lang w:eastAsia="en-US"/>
        </w:rPr>
        <w:t xml:space="preserve">пункта 1 Указа Президента Российской Федерации от 02.10.1992 № 1157 «О </w:t>
      </w:r>
      <w:r>
        <w:rPr>
          <w:lang w:eastAsia="en-US"/>
        </w:rPr>
        <w:t xml:space="preserve">дополнительных мерах государственной поддержки инвалидов» инвалиды I и II групп, дети-инвалиды и лица, сопровождающие таких детей, пользуются правом на личный прием во внеочередном порядке к Министру, исполняющему обязанности Министра, уполномоченному лицу</w:t>
      </w:r>
      <w:r>
        <w:rPr>
          <w:lang w:eastAsia="en-US"/>
        </w:rPr>
        <w:t xml:space="preserve">.».</w:t>
      </w:r>
      <w:r/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______________________________</w:t>
      </w:r>
      <w:r>
        <w:rPr>
          <w:sz w:val="20"/>
          <w:szCs w:val="20"/>
          <w:lang w:eastAsia="en-US"/>
        </w:rPr>
      </w:r>
    </w:p>
    <w:sectPr>
      <w:footerReference w:type="default" r:id="rId9"/>
      <w:footnotePr/>
      <w:endnotePr/>
      <w:type w:val="continuous"/>
      <w:pgSz w:w="11907" w:h="16840" w:orient="portrait"/>
      <w:pgMar w:top="1276" w:right="567" w:bottom="567" w:left="1418" w:header="567" w:footer="56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0000709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9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pPr>
      <w:ind w:firstLine="709"/>
      <w:jc w:val="both"/>
      <w:widowControl w:val="off"/>
    </w:pPr>
    <w:rPr>
      <w:sz w:val="28"/>
      <w:szCs w:val="28"/>
    </w:rPr>
  </w:style>
  <w:style w:type="paragraph" w:styleId="686">
    <w:name w:val="Heading 1"/>
    <w:basedOn w:val="685"/>
    <w:next w:val="6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880"/>
    <w:qFormat/>
    <w:pPr>
      <w:spacing w:before="120" w:after="120"/>
      <w:outlineLvl w:val="1"/>
    </w:pPr>
  </w:style>
  <w:style w:type="paragraph" w:styleId="688">
    <w:name w:val="Heading 3"/>
    <w:basedOn w:val="685"/>
    <w:next w:val="685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Subtitle Char"/>
    <w:basedOn w:val="695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Заголовок 1 Знак"/>
    <w:link w:val="686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85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rPr>
      <w:lang w:eastAsia="zh-CN"/>
    </w:rPr>
  </w:style>
  <w:style w:type="paragraph" w:styleId="722">
    <w:name w:val="Title"/>
    <w:basedOn w:val="685"/>
    <w:link w:val="883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723" w:customStyle="1">
    <w:name w:val="Title Char"/>
    <w:uiPriority w:val="10"/>
    <w:rPr>
      <w:sz w:val="48"/>
      <w:szCs w:val="48"/>
    </w:rPr>
  </w:style>
  <w:style w:type="paragraph" w:styleId="724">
    <w:name w:val="Subtitle"/>
    <w:basedOn w:val="685"/>
    <w:next w:val="685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85"/>
    <w:next w:val="685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5"/>
    <w:next w:val="685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85"/>
    <w:link w:val="884"/>
    <w:pPr>
      <w:tabs>
        <w:tab w:val="center" w:pos="4536" w:leader="none"/>
        <w:tab w:val="right" w:pos="9072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85"/>
    <w:link w:val="885"/>
    <w:pPr>
      <w:tabs>
        <w:tab w:val="center" w:pos="4536" w:leader="none"/>
        <w:tab w:val="right" w:pos="9072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2">
    <w:name w:val="Hyperlink"/>
    <w:rPr>
      <w:rFonts w:cs="Times New Roman"/>
      <w:color w:val="0000ff"/>
      <w:u w:val="single"/>
    </w:rPr>
  </w:style>
  <w:style w:type="paragraph" w:styleId="863">
    <w:name w:val="footnote text"/>
    <w:basedOn w:val="685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85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85"/>
    <w:next w:val="685"/>
    <w:uiPriority w:val="39"/>
    <w:unhideWhenUsed/>
    <w:pPr>
      <w:ind w:firstLine="0"/>
      <w:spacing w:after="57"/>
    </w:pPr>
  </w:style>
  <w:style w:type="paragraph" w:styleId="870">
    <w:name w:val="toc 2"/>
    <w:basedOn w:val="685"/>
    <w:next w:val="685"/>
    <w:uiPriority w:val="39"/>
    <w:unhideWhenUsed/>
    <w:pPr>
      <w:ind w:left="283" w:firstLine="0"/>
      <w:spacing w:after="57"/>
    </w:pPr>
  </w:style>
  <w:style w:type="paragraph" w:styleId="871">
    <w:name w:val="toc 3"/>
    <w:basedOn w:val="685"/>
    <w:next w:val="685"/>
    <w:uiPriority w:val="39"/>
    <w:unhideWhenUsed/>
    <w:pPr>
      <w:ind w:left="567" w:firstLine="0"/>
      <w:spacing w:after="57"/>
    </w:pPr>
  </w:style>
  <w:style w:type="paragraph" w:styleId="872">
    <w:name w:val="toc 4"/>
    <w:basedOn w:val="685"/>
    <w:next w:val="685"/>
    <w:uiPriority w:val="39"/>
    <w:unhideWhenUsed/>
    <w:pPr>
      <w:ind w:left="850" w:firstLine="0"/>
      <w:spacing w:after="57"/>
    </w:pPr>
  </w:style>
  <w:style w:type="paragraph" w:styleId="873">
    <w:name w:val="toc 5"/>
    <w:basedOn w:val="685"/>
    <w:next w:val="685"/>
    <w:uiPriority w:val="39"/>
    <w:unhideWhenUsed/>
    <w:pPr>
      <w:ind w:left="1134" w:firstLine="0"/>
      <w:spacing w:after="57"/>
    </w:pPr>
  </w:style>
  <w:style w:type="paragraph" w:styleId="874">
    <w:name w:val="toc 6"/>
    <w:basedOn w:val="685"/>
    <w:next w:val="685"/>
    <w:uiPriority w:val="39"/>
    <w:unhideWhenUsed/>
    <w:pPr>
      <w:ind w:left="1417" w:firstLine="0"/>
      <w:spacing w:after="57"/>
    </w:pPr>
  </w:style>
  <w:style w:type="paragraph" w:styleId="875">
    <w:name w:val="toc 7"/>
    <w:basedOn w:val="685"/>
    <w:next w:val="685"/>
    <w:uiPriority w:val="39"/>
    <w:unhideWhenUsed/>
    <w:pPr>
      <w:ind w:left="1701" w:firstLine="0"/>
      <w:spacing w:after="57"/>
    </w:pPr>
  </w:style>
  <w:style w:type="paragraph" w:styleId="876">
    <w:name w:val="toc 8"/>
    <w:basedOn w:val="685"/>
    <w:next w:val="685"/>
    <w:uiPriority w:val="39"/>
    <w:unhideWhenUsed/>
    <w:pPr>
      <w:ind w:left="1984" w:firstLine="0"/>
      <w:spacing w:after="57"/>
    </w:pPr>
  </w:style>
  <w:style w:type="paragraph" w:styleId="877">
    <w:name w:val="toc 9"/>
    <w:basedOn w:val="685"/>
    <w:next w:val="685"/>
    <w:uiPriority w:val="39"/>
    <w:unhideWhenUsed/>
    <w:pPr>
      <w:ind w:left="2268" w:firstLine="0"/>
      <w:spacing w:after="57"/>
    </w:pPr>
  </w:style>
  <w:style w:type="paragraph" w:styleId="878">
    <w:name w:val="TOC Heading"/>
    <w:uiPriority w:val="39"/>
    <w:unhideWhenUsed/>
    <w:rPr>
      <w:lang w:eastAsia="zh-CN"/>
    </w:rPr>
  </w:style>
  <w:style w:type="paragraph" w:styleId="879">
    <w:name w:val="table of figures"/>
    <w:basedOn w:val="685"/>
    <w:next w:val="685"/>
    <w:uiPriority w:val="99"/>
    <w:unhideWhenUsed/>
  </w:style>
  <w:style w:type="character" w:styleId="880" w:customStyle="1">
    <w:name w:val="Заголовок 2 Знак"/>
    <w:link w:val="687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81" w:customStyle="1">
    <w:name w:val="Основной шрифт"/>
  </w:style>
  <w:style w:type="paragraph" w:styleId="882" w:customStyle="1">
    <w:name w:val="Eiio"/>
    <w:basedOn w:val="685"/>
    <w:pPr>
      <w:ind w:firstLine="0"/>
      <w:jc w:val="left"/>
    </w:pPr>
    <w:rPr>
      <w:rFonts w:ascii="Baltica" w:hAnsi="Baltica" w:cs="Baltica"/>
      <w:sz w:val="24"/>
      <w:szCs w:val="24"/>
    </w:rPr>
  </w:style>
  <w:style w:type="character" w:styleId="883" w:customStyle="1">
    <w:name w:val="Название Знак"/>
    <w:link w:val="722"/>
    <w:rPr>
      <w:rFonts w:ascii="Cambria" w:hAnsi="Cambria" w:eastAsia="Times New Roman" w:cs="Times New Roman"/>
      <w:b/>
      <w:bCs/>
      <w:sz w:val="32"/>
      <w:szCs w:val="32"/>
    </w:rPr>
  </w:style>
  <w:style w:type="character" w:styleId="884" w:customStyle="1">
    <w:name w:val="Верхний колонтитул Знак"/>
    <w:link w:val="730"/>
    <w:semiHidden/>
    <w:rPr>
      <w:rFonts w:cs="Times New Roman"/>
      <w:sz w:val="28"/>
      <w:szCs w:val="28"/>
    </w:rPr>
  </w:style>
  <w:style w:type="character" w:styleId="885" w:customStyle="1">
    <w:name w:val="Нижний колонтитул Знак"/>
    <w:link w:val="732"/>
    <w:semiHidden/>
    <w:rPr>
      <w:rFonts w:cs="Times New Roman"/>
      <w:sz w:val="28"/>
      <w:szCs w:val="28"/>
    </w:rPr>
  </w:style>
  <w:style w:type="paragraph" w:styleId="886">
    <w:name w:val="Balloon Text"/>
    <w:basedOn w:val="685"/>
    <w:link w:val="887"/>
    <w:semiHidden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link w:val="886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5</cp:revision>
  <dcterms:created xsi:type="dcterms:W3CDTF">2025-03-14T08:55:00Z</dcterms:created>
  <dcterms:modified xsi:type="dcterms:W3CDTF">2025-03-26T10:34:53Z</dcterms:modified>
  <cp:version>917504</cp:version>
</cp:coreProperties>
</file>