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0"/>
        <w:jc w:val="center"/>
        <w:widowControl/>
        <w:rPr>
          <w:b/>
          <w:bCs/>
          <w:color w:val="auto"/>
        </w:rPr>
      </w:pPr>
      <w:r>
        <w:rPr>
          <w:b/>
          <w:bCs/>
          <w:color w:val="auto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0"/>
        <w:jc w:val="center"/>
        <w:widowControl/>
        <w:rPr>
          <w:b/>
          <w:bCs/>
          <w:color w:val="auto"/>
        </w:rPr>
      </w:pPr>
      <w:r>
        <w:rPr>
          <w:b/>
          <w:bCs/>
          <w:color w:val="auto"/>
        </w:rPr>
        <w:t xml:space="preserve">(Минпромторг НСО)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0"/>
        <w:jc w:val="center"/>
        <w:widowControl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0"/>
        <w:jc w:val="center"/>
        <w:widowControl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ПРИКАЗ</w:t>
      </w:r>
      <w:r>
        <w:rPr>
          <w:b/>
          <w:bCs/>
          <w:color w:val="auto"/>
          <w:sz w:val="36"/>
          <w:szCs w:val="36"/>
        </w:rPr>
      </w:r>
      <w:r>
        <w:rPr>
          <w:b/>
          <w:bCs/>
          <w:color w:val="auto"/>
          <w:sz w:val="36"/>
          <w:szCs w:val="36"/>
        </w:rPr>
      </w:r>
    </w:p>
    <w:p>
      <w:pPr>
        <w:ind w:firstLine="0"/>
        <w:widowControl/>
        <w:rPr>
          <w:color w:val="auto"/>
          <w:u w:val="single"/>
        </w:rPr>
      </w:pPr>
      <w:r>
        <w:rPr>
          <w:color w:val="auto"/>
        </w:rPr>
        <w:t xml:space="preserve">30.06.2025                                                                                                      № 227-НПА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  <w:t xml:space="preserve">г. Новосибирск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 xml:space="preserve">О внесении изменений в приказ министерства промышленности, торговли </w:t>
      </w:r>
      <w:r>
        <w:rPr>
          <w:color w:val="auto"/>
        </w:rPr>
        <w:t xml:space="preserve">и развития предпринимательства Новосибирской области</w:t>
      </w:r>
      <w:r>
        <w:rPr>
          <w:color w:val="auto"/>
        </w:rPr>
        <w:t xml:space="preserve"> </w:t>
      </w:r>
      <w:r>
        <w:rPr>
          <w:color w:val="auto"/>
        </w:rPr>
        <w:t xml:space="preserve">от 11.12.2024 № 384-НПА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widowControl/>
        <w:rPr>
          <w:b/>
          <w:bCs/>
          <w:color w:val="auto"/>
          <w:highlight w:val="none"/>
        </w:rPr>
      </w:pPr>
      <w:r>
        <w:rPr>
          <w:color w:val="auto"/>
        </w:rPr>
      </w:r>
      <w:r>
        <w:rPr>
          <w:b/>
          <w:color w:val="auto"/>
        </w:rPr>
        <w:t xml:space="preserve">П</w:t>
      </w:r>
      <w:r>
        <w:rPr>
          <w:b/>
          <w:color w:val="auto"/>
        </w:rPr>
        <w:t xml:space="preserve"> р и к а з ы в а ю: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приказ министерства промышленности, торговли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развития предпринимательства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 11.12.2024 № 384-НПА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ибирской области на 2025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 следующие изменения: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В преамбуле слова «разработки и утверждения» заменить словами «разработки, утверждения и актуализации».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</w:t>
      </w:r>
      <w:r>
        <w:rPr>
          <w:color w:val="auto"/>
        </w:rPr>
        <w:t xml:space="preserve">П</w:t>
      </w:r>
      <w:r>
        <w:rPr>
          <w:color w:val="auto"/>
        </w:rPr>
        <w:t xml:space="preserve">рограмме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>
        <w:rPr>
          <w:color w:val="auto"/>
        </w:rPr>
        <w:t xml:space="preserve"> </w:t>
      </w:r>
      <w:r>
        <w:rPr>
          <w:color w:val="auto"/>
        </w:rPr>
        <w:t xml:space="preserve">на 2025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дополнить пунктом 6.1 следующего содержания: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«6.1.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color w:val="auto"/>
          <w:highlight w:val="none"/>
        </w:rPr>
        <w:t xml:space="preserve">Объекты регионального государственного контроля (</w:t>
      </w:r>
      <w:r>
        <w:rPr>
          <w:color w:val="auto"/>
          <w:highlight w:val="none"/>
        </w:rPr>
        <w:t xml:space="preserve">далее – объекты контроля) подлежат отнесению к </w:t>
      </w:r>
      <w:r>
        <w:rPr>
          <w:color w:val="auto"/>
          <w:highlight w:val="none"/>
        </w:rPr>
        <w:t xml:space="preserve">категориям </w:t>
      </w:r>
      <w:r>
        <w:rPr>
          <w:color w:val="auto"/>
          <w:highlight w:val="none"/>
        </w:rPr>
        <w:t xml:space="preserve">значительного, </w:t>
      </w:r>
      <w:r>
        <w:rPr>
          <w:color w:val="auto"/>
          <w:highlight w:val="none"/>
        </w:rPr>
        <w:t xml:space="preserve">среднего, </w:t>
      </w:r>
      <w:r>
        <w:rPr>
          <w:color w:val="auto"/>
          <w:highlight w:val="none"/>
        </w:rPr>
        <w:t xml:space="preserve">умеренного,</w:t>
      </w:r>
      <w:r>
        <w:rPr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низкого риска</w:t>
      </w:r>
      <w:r>
        <w:rPr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причинения вреда (ущерба) охраняемым законом ценностям</w:t>
      </w:r>
      <w:r>
        <w:rPr>
          <w:color w:val="auto"/>
          <w:highlight w:val="none"/>
        </w:rPr>
        <w:t xml:space="preserve"> (далее – категории риска).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Критерии отнесения объектов контроля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категориям риска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рамках осуществления регионального государственного контроля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указаны в приложении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 Положению о региональном государственном контроле (надзоре) в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бласти розничной продажи алкогольной и спиртосодержащей продукции на территории Новосибирской области, утвержденному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постановлением Правительства Новосибирской области от 28.09.2021 № 383-п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области» (далее – Положение о региональном государственном контроле).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widowControl/>
        <w:rPr>
          <w:color w:val="auto"/>
          <w:highlight w:val="white"/>
        </w:rPr>
      </w:pPr>
      <w:r>
        <w:rPr>
          <w:color w:val="auto"/>
          <w:highlight w:val="none"/>
        </w:rPr>
        <w:t xml:space="preserve">Данные о </w:t>
      </w:r>
      <w:r>
        <w:rPr>
          <w:color w:val="auto"/>
          <w:highlight w:val="none"/>
        </w:rPr>
        <w:t xml:space="preserve">м</w:t>
      </w:r>
      <w:r>
        <w:rPr>
          <w:color w:val="auto"/>
          <w:highlight w:val="white"/>
        </w:rPr>
        <w:t xml:space="preserve">аксимальном количестве объектов контроля,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которые в 2023, 2</w:t>
      </w:r>
      <w:r>
        <w:rPr>
          <w:color w:val="auto"/>
          <w:highlight w:val="white"/>
        </w:rPr>
        <w:t xml:space="preserve">024 годах относились к категориям значительного, среднего и умеренного риска</w:t>
      </w:r>
      <w:r>
        <w:rPr>
          <w:color w:val="auto"/>
          <w:highlight w:val="none"/>
        </w:rPr>
        <w:t xml:space="preserve"> </w:t>
      </w:r>
      <w:r>
        <w:rPr>
          <w:color w:val="auto"/>
        </w:rPr>
        <w:t xml:space="preserve">в рамках осуществления регионального государственного контроля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предст</w:t>
      </w:r>
      <w:r>
        <w:rPr>
          <w:color w:val="auto"/>
          <w:highlight w:val="white"/>
        </w:rPr>
        <w:t xml:space="preserve">авлены </w:t>
      </w:r>
      <w:r>
        <w:rPr>
          <w:color w:val="auto"/>
        </w:rPr>
        <w:t xml:space="preserve">в таблице.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540"/>
        <w:jc w:val="right"/>
        <w:widowControl/>
        <w:rPr>
          <w:color w:val="auto"/>
        </w:rPr>
        <w:outlineLvl w:val="0"/>
      </w:pPr>
      <w:r>
        <w:rPr>
          <w:color w:val="auto"/>
          <w:lang w:eastAsia="en-US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540"/>
        <w:jc w:val="right"/>
        <w:widowControl/>
        <w:rPr>
          <w:color w:val="auto"/>
        </w:rPr>
        <w:outlineLvl w:val="0"/>
      </w:pPr>
      <w:r>
        <w:rPr>
          <w:color w:val="auto"/>
          <w:lang w:eastAsia="en-US"/>
        </w:rPr>
        <w:t xml:space="preserve">Таблица</w:t>
      </w:r>
      <w:r>
        <w:rPr>
          <w:color w:val="auto"/>
        </w:rPr>
      </w:r>
      <w:r>
        <w:rPr>
          <w:color w:val="auto"/>
        </w:rPr>
      </w:r>
    </w:p>
    <w:p>
      <w:pPr>
        <w:ind w:firstLine="540"/>
        <w:jc w:val="right"/>
        <w:widowControl/>
        <w:rPr>
          <w:color w:val="auto"/>
        </w:rPr>
        <w:outlineLvl w:val="0"/>
      </w:pPr>
      <w:r>
        <w:rPr>
          <w:color w:val="auto"/>
          <w:lang w:eastAsia="en-US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bCs/>
          <w:color w:val="auto"/>
        </w:rPr>
      </w:pPr>
      <w:r>
        <w:rPr>
          <w:color w:val="auto"/>
        </w:rPr>
        <w:t xml:space="preserve">Количество объектов контроля, отнесенных к категориям риска в рамках осуществления регионального государственного контроля</w:t>
      </w:r>
      <w:r>
        <w:rPr>
          <w:bCs/>
          <w:color w:val="auto"/>
          <w:lang w:eastAsia="en-US"/>
        </w:rPr>
        <w:t xml:space="preserve"> (2023, 2024 годы)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widowControl/>
        <w:rPr>
          <w:color w:val="auto"/>
          <w:highlight w:val="white"/>
        </w:rPr>
      </w:pPr>
      <w:r>
        <w:rPr>
          <w:color w:val="auto"/>
          <w:highlight w:val="non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tbl>
      <w:tblPr>
        <w:tblStyle w:val="722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1525"/>
        <w:gridCol w:w="1525"/>
        <w:gridCol w:w="4785"/>
      </w:tblGrid>
      <w:tr>
        <w:tblPrEx/>
        <w:trPr/>
        <w:tc>
          <w:tcPr>
            <w:tcW w:w="20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Категория риска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Количество объектов 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контроля 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(2024 год)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Количество объектов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контроля (2023 год)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47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Комментарий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0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значительный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13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0" w:right="0" w:firstLine="0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снижение количества объектов контроля </w:t>
              <w:br/>
              <w:t xml:space="preserve">на 85%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0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средний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11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11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0" w:right="0" w:firstLine="0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количество объектов контроля осталось</w:t>
              <w:br/>
              <w:t xml:space="preserve">на прежнем уровне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0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умеренный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403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316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0" w:right="0" w:firstLine="0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увеличение количества объектов контроля на 28%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widowControl/>
        <w:rPr>
          <w:color w:val="auto"/>
          <w:highlight w:val="darkCyan"/>
        </w:rPr>
      </w:pPr>
      <w:r>
        <w:rPr>
          <w:color w:val="auto"/>
          <w:highlight w:val="none"/>
        </w:rPr>
      </w:r>
      <w:r>
        <w:rPr>
          <w:color w:val="auto"/>
          <w:highlight w:val="darkCyan"/>
        </w:rPr>
      </w:r>
      <w:r>
        <w:rPr>
          <w:color w:val="auto"/>
          <w:highlight w:val="darkCyan"/>
        </w:rPr>
      </w:r>
    </w:p>
    <w:p>
      <w:pPr>
        <w:widowControl/>
        <w:rPr>
          <w:color w:val="auto"/>
        </w:rPr>
      </w:pPr>
      <w:r>
        <w:rPr>
          <w:color w:val="auto"/>
          <w:highlight w:val="none"/>
        </w:rPr>
        <w:t xml:space="preserve">Сведения, приведенные в таблице, свидетельствуют о снижении </w:t>
      </w:r>
      <w:r>
        <w:rPr>
          <w:color w:val="auto"/>
          <w:highlight w:val="none"/>
        </w:rPr>
        <w:t xml:space="preserve">числа объектов контроля, относящихся к категории значительного риска, </w:t>
      </w:r>
      <w:r>
        <w:rPr>
          <w:color w:val="auto"/>
        </w:rPr>
        <w:t xml:space="preserve">деятельность которых может быть связана с возможным причинением </w:t>
      </w:r>
      <w:r>
        <w:rPr>
          <w:color w:val="auto"/>
        </w:rPr>
        <w:t xml:space="preserve">значительного по объему и пос</w:t>
      </w:r>
      <w:r>
        <w:rPr>
          <w:color w:val="auto"/>
        </w:rPr>
        <w:t xml:space="preserve">ледствиям вреда охраняемым законом ценностям</w:t>
      </w:r>
      <w:r>
        <w:rPr>
          <w:color w:val="auto"/>
        </w:rPr>
        <w:t xml:space="preserve">. В отношении таких объектов контроля </w:t>
      </w:r>
      <w:r>
        <w:rPr>
          <w:color w:val="auto"/>
          <w:highlight w:val="none"/>
        </w:rPr>
        <w:t xml:space="preserve">предусмотрено проведение Министерством обязательных профилактических визитов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В отношении объектов контроля среднего и умеренного риска проведение профилактических мероприятий не предусмотрено, так как их деятельность </w:t>
      </w:r>
      <w:r>
        <w:rPr>
          <w:color w:val="auto"/>
        </w:rPr>
        <w:t xml:space="preserve">не связана с серьезным риском для публично зн</w:t>
      </w:r>
      <w:r>
        <w:rPr>
          <w:color w:val="auto"/>
        </w:rPr>
        <w:t xml:space="preserve">ачимых благ</w:t>
      </w:r>
      <w:r>
        <w:rPr>
          <w:color w:val="auto"/>
        </w:rPr>
        <w:t xml:space="preserve">.</w:t>
      </w:r>
      <w:r>
        <w:rPr>
          <w:color w:val="auto"/>
          <w:highlight w:val="none"/>
        </w:rPr>
        <w:t xml:space="preserve">»;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8: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абзац первый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t xml:space="preserve">«</w:t>
      </w:r>
      <w:r>
        <w:rPr>
          <w:color w:val="auto"/>
          <w:highlight w:val="none"/>
        </w:rPr>
        <w:t xml:space="preserve">8. </w:t>
      </w:r>
      <w:r>
        <w:rPr>
          <w:color w:val="auto"/>
          <w:highlight w:val="none"/>
        </w:rPr>
        <w:t xml:space="preserve">Одной из основных проблем, на решение которой </w:t>
      </w:r>
      <w:r>
        <w:rPr>
          <w:color w:val="auto"/>
          <w:highlight w:val="none"/>
        </w:rPr>
        <w:t xml:space="preserve">направлены </w:t>
      </w:r>
      <w:r>
        <w:rPr>
          <w:color w:val="auto"/>
          <w:highlight w:val="none"/>
        </w:rPr>
        <w:t xml:space="preserve">мероприятия, </w:t>
      </w:r>
      <w:r>
        <w:rPr>
          <w:color w:val="auto"/>
          <w:highlight w:val="none"/>
        </w:rPr>
        <w:t xml:space="preserve">предусмотренные Программой,</w:t>
      </w:r>
      <w:r>
        <w:rPr>
          <w:color w:val="auto"/>
          <w:highlight w:val="none"/>
        </w:rPr>
        <w:t xml:space="preserve">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  <w:r>
        <w:rPr>
          <w:color w:val="auto"/>
          <w:highlight w:val="none"/>
        </w:rPr>
        <w:t xml:space="preserve">»;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t xml:space="preserve">б) после абзаца десятого дополнить абзацами следующего содержания: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t xml:space="preserve">«Профилактические мероприятия при осуществлении </w:t>
      </w:r>
      <w:r>
        <w:rPr>
          <w:color w:val="auto"/>
          <w:highlight w:val="none"/>
        </w:rPr>
        <w:t xml:space="preserve">регионального государственного контроля</w:t>
      </w:r>
      <w:r>
        <w:rPr>
          <w:color w:val="auto"/>
          <w:highlight w:val="none"/>
        </w:rPr>
        <w:t xml:space="preserve"> направлены на минимизацию рисков нарушений обязательных требований со стороны контролируемых лиц путем доведения до н</w:t>
      </w:r>
      <w:r>
        <w:rPr>
          <w:color w:val="auto"/>
          <w:highlight w:val="none"/>
        </w:rPr>
        <w:t xml:space="preserve">их в понятной и доступной форме информации об обязательных требованиях, мотивирующей контролируемых лиц к их соблюдению.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А</w:t>
      </w:r>
      <w:r>
        <w:rPr>
          <w:color w:val="auto"/>
          <w:highlight w:val="none"/>
        </w:rPr>
        <w:t xml:space="preserve">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(надзорную) и административную нагрузку</w:t>
      </w:r>
      <w:r>
        <w:rPr>
          <w:color w:val="auto"/>
          <w:highlight w:val="none"/>
        </w:rPr>
        <w:t xml:space="preserve"> на бизнес.</w:t>
      </w:r>
      <w:r>
        <w:rPr>
          <w:color w:val="auto"/>
          <w:highlight w:val="none"/>
        </w:rPr>
        <w:t xml:space="preserve">»;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 9 после слова «</w:t>
      </w:r>
      <w:r>
        <w:rPr>
          <w:color w:val="auto"/>
        </w:rPr>
        <w:t xml:space="preserve">единиц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дополнить словами «</w:t>
      </w:r>
      <w:r>
        <w:rPr>
          <w:color w:val="auto"/>
          <w:highlight w:val="none"/>
        </w:rPr>
        <w:t xml:space="preserve">, что на 2,6 % больше чем по состоянию на 1 сентября 2023 года - 4 433 единицы</w:t>
      </w:r>
      <w:r>
        <w:rPr>
          <w:color w:val="auto"/>
          <w:highlight w:val="none"/>
        </w:rPr>
        <w:t xml:space="preserve">»</w:t>
      </w:r>
      <w:r>
        <w:rPr>
          <w:color w:val="auto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 10 изложить в следующей редакции: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</w:rPr>
      </w:pPr>
      <w:r>
        <w:rPr>
          <w:color w:val="auto"/>
        </w:rPr>
        <w:t xml:space="preserve">«10. Коли</w:t>
      </w:r>
      <w:r>
        <w:rPr>
          <w:color w:val="auto"/>
        </w:rPr>
        <w:t xml:space="preserve">чество действующих лицензий на розничную продажу алкогольной</w:t>
      </w:r>
      <w:r>
        <w:rPr>
          <w:color w:val="auto"/>
        </w:rPr>
        <w:t xml:space="preserve"> продукции и розничную продажу алкогольной продукции при оказании услуг общественного питания и данные о проведенных мероприятиях по региональному государственному контролю за 8 месяцев 2024 года (в сравнении с 8 месяцами 2023 года) представлены в таблице.</w:t>
      </w:r>
      <w:r>
        <w:rPr>
          <w:color w:val="auto"/>
        </w:rPr>
      </w:r>
      <w:r>
        <w:rPr>
          <w:color w:val="auto"/>
        </w:rPr>
      </w:r>
    </w:p>
    <w:p>
      <w:pPr>
        <w:ind w:firstLine="540"/>
        <w:jc w:val="right"/>
        <w:widowControl/>
        <w:rPr>
          <w:color w:val="auto"/>
        </w:rPr>
        <w:outlineLvl w:val="0"/>
      </w:pPr>
      <w:r>
        <w:rPr>
          <w:color w:val="auto"/>
          <w:lang w:eastAsia="en-US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540"/>
        <w:jc w:val="right"/>
        <w:widowControl/>
        <w:rPr>
          <w:color w:val="auto"/>
        </w:rPr>
        <w:outlineLvl w:val="0"/>
      </w:pPr>
      <w:r>
        <w:rPr>
          <w:color w:val="auto"/>
          <w:lang w:eastAsia="en-US"/>
        </w:rPr>
        <w:t xml:space="preserve">Таблица</w:t>
      </w:r>
      <w:r>
        <w:rPr>
          <w:color w:val="auto"/>
        </w:rPr>
      </w:r>
      <w:r>
        <w:rPr>
          <w:color w:val="auto"/>
        </w:rPr>
      </w:r>
    </w:p>
    <w:p>
      <w:pPr>
        <w:ind w:firstLine="540"/>
        <w:jc w:val="right"/>
        <w:widowControl/>
        <w:rPr>
          <w:color w:val="auto"/>
        </w:rPr>
        <w:outlineLvl w:val="0"/>
      </w:pPr>
      <w:r>
        <w:rPr>
          <w:color w:val="auto"/>
          <w:lang w:eastAsia="en-US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  <w:highlight w:val="none"/>
        </w:rPr>
      </w:pPr>
      <w:r>
        <w:rPr>
          <w:color w:val="auto"/>
        </w:rPr>
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и данные о проведенных мероприятиях по региональному государственному контролю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bCs/>
          <w:color w:val="auto"/>
          <w:highlight w:val="none"/>
          <w:lang w:eastAsia="en-US"/>
        </w:rPr>
      </w:r>
      <w:r>
        <w:rPr>
          <w:color w:val="auto"/>
        </w:rPr>
      </w:r>
      <w:r>
        <w:rPr>
          <w:color w:val="auto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889"/>
        <w:gridCol w:w="1843"/>
        <w:gridCol w:w="1843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№ 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п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/п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2024 год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  <w:lang w:eastAsia="en-US"/>
              </w:rPr>
              <w:t xml:space="preserve">(за 8 месяцев)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2023 год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  <w:lang w:eastAsia="en-US"/>
              </w:rPr>
              <w:t xml:space="preserve">(за 8 месяцев)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Изменение показателя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(далее – лицензии):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741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802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en-US"/>
              </w:rPr>
              <w:t xml:space="preserve">уменьшение 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en-US"/>
              </w:rPr>
              <w:t xml:space="preserve">на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7,6 %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1) на розничную продажу алкогольной продукции;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281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310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en-US"/>
              </w:rPr>
              <w:t xml:space="preserve">уменьшение 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en-US"/>
              </w:rPr>
              <w:t xml:space="preserve">на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9,3 %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2) розничную продажу алкогольной продукции при оказании услуг общественного питания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460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492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en-US"/>
              </w:rPr>
              <w:t xml:space="preserve">уменьшение 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en-US"/>
              </w:rPr>
              <w:t xml:space="preserve">на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6,5 %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Количество рассмотренных заявлений о предоставлении, переоформлении, продлении лицензий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741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763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уменьшение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на 2,9 %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3.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Количество проведенных оценок соответствия соискателя лицензии (лицензиата) лицензионным требованиям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1 296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1 293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увеличение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на 0,2 %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4.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Количество контрольных (надзорных) мероприятий, проведенных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во взаимодействии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 контролируемыми лицами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6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6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показатель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не изменился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5.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Количество контрольных (надзорных) мероприятий, проведенных без взаимодействия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 контролируемыми лицами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16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—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—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6.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Количество профилактических мероприятий, проведенных в отношении контролируемых лиц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350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307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увеличение 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none"/>
                <w:lang w:val="en-US" w:eastAsia="en-US"/>
              </w:rPr>
              <w:t xml:space="preserve">на 14 %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7.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Составлено протоколов об административных правонарушениях по результатам проведенных контрольных (надзорных) мероприятий в отношении контролируемых лиц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0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снижение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на 200 %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8.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Вынесено постановлений (решений) о привлечении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к административной ответственности, в том числе судом по результатам рассмотрения протоколов об административных правонарушениях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0</w:t>
            </w:r>
            <w:r>
              <w:rPr>
                <w:color w:val="auto"/>
                <w:sz w:val="24"/>
                <w:szCs w:val="24"/>
                <w:highlight w:val="yellow"/>
              </w:rPr>
            </w:r>
            <w:r>
              <w:rPr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8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снижение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 xml:space="preserve">на 800 %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widowControl/>
        <w:rPr>
          <w:rFonts w:ascii="TimesNewRoman" w:hAnsi="TimesNewRoman" w:eastAsia="TimesNewRoman" w:cs="TimesNewRoman"/>
          <w:color w:val="auto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color w:val="auto"/>
          <w:sz w:val="28"/>
          <w:highlight w:val="none"/>
          <w:lang w:val="ru-RU"/>
        </w:rPr>
      </w:r>
      <w:r>
        <w:rPr>
          <w:rFonts w:ascii="TimesNewRoman" w:hAnsi="TimesNewRoman" w:eastAsia="TimesNewRoman" w:cs="TimesNewRoman"/>
          <w:color w:val="auto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color w:val="auto"/>
          <w:sz w:val="28"/>
          <w:szCs w:val="28"/>
          <w:highlight w:val="none"/>
        </w:rPr>
      </w:r>
    </w:p>
    <w:p>
      <w:pPr>
        <w:widowControl/>
        <w:rPr>
          <w:rFonts w:ascii="TimesNewRoman" w:hAnsi="TimesNewRoman" w:eastAsia="TimesNewRoman" w:cs="TimesNew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t xml:space="preserve">Р</w:t>
      </w:r>
      <w:r>
        <w:rPr>
          <w:color w:val="auto"/>
          <w:highlight w:val="white"/>
        </w:rPr>
        <w:t xml:space="preserve">егиональный государственный контроль Министерством осуществляется в условиях ограничительных мер на проведение контрольных (надзорных) мероприятий с взаимодействием с юридическими лицами и индивидуальными предпринимателями, установленных постановлением П</w:t>
      </w:r>
      <w:r>
        <w:rPr>
          <w:color w:val="auto"/>
          <w:highlight w:val="white"/>
        </w:rPr>
        <w:t xml:space="preserve">равительства Российской Федерации от 10.03.2022 № 336 «Об особенностях организации и осуществления государственного контроля (надзора), </w:t>
      </w:r>
      <w:r>
        <w:rPr>
          <w:color w:val="auto"/>
          <w:highlight w:val="white"/>
        </w:rPr>
        <w:t xml:space="preserve">муниципального контроля», </w:t>
      </w:r>
      <w:r>
        <w:rPr>
          <w:rFonts w:ascii="TimesNewRoman" w:hAnsi="TimesNewRoman" w:eastAsia="TimesNewRoman" w:cs="TimesNewRoman"/>
          <w:color w:val="auto"/>
          <w:sz w:val="28"/>
          <w:highlight w:val="none"/>
          <w:lang w:val="ru-RU"/>
        </w:rPr>
        <w:t xml:space="preserve">а также с учетом принципа стимулирования добросовестного соблюдения обязательных требований, установленного частью 1 статьи 8 </w:t>
      </w:r>
      <w:r>
        <w:rPr>
          <w:rFonts w:ascii="TimesNewRoman" w:hAnsi="TimesNewRoman" w:eastAsia="TimesNewRoman" w:cs="TimesNewRoman"/>
          <w:color w:val="auto"/>
          <w:sz w:val="28"/>
          <w:highlight w:val="none"/>
          <w:lang w:val="ru-RU"/>
        </w:rPr>
        <w:t xml:space="preserve">Федерального закона от 31.07.2020 № 248-ФЗ «О государственном контроле (надзоре) и муниципальном контроле в Российской Федерации» (далее – Федеральный закон № 248-ФЗ), </w:t>
      </w:r>
      <w:r>
        <w:rPr>
          <w:rFonts w:ascii="TimesNewRoman" w:hAnsi="TimesNewRoman" w:eastAsia="TimesNewRoman" w:cs="TimesNewRoman"/>
          <w:color w:val="auto"/>
          <w:sz w:val="28"/>
          <w:highlight w:val="none"/>
          <w:lang w:val="ru-RU"/>
        </w:rPr>
        <w:t xml:space="preserve">заключающегося в приоритете проведения профилактических мероприятий по отношению к проведению контрольных (надзорных) мероприятий.</w:t>
      </w:r>
      <w:r>
        <w:rPr>
          <w:rFonts w:ascii="TimesNewRoman" w:hAnsi="TimesNewRoman" w:eastAsia="TimesNewRoman" w:cs="TimesNewRoman"/>
          <w:color w:val="auto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color w:val="auto"/>
          <w:sz w:val="28"/>
          <w:szCs w:val="28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white"/>
        </w:rPr>
        <w:t xml:space="preserve">Деятельность Министерства переориентирована на профилактическую работу с контролируемыми лицами, применение превентивных инструментов взаимодействия с контролируемыми лицами, о чем свидетельствуют данные, отраженные в таблице.</w:t>
      </w:r>
      <w:r>
        <w:rPr>
          <w:color w:val="auto"/>
          <w:highlight w:val="none"/>
        </w:rPr>
        <w:t xml:space="preserve">»;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подпункт 5 пункта 11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«5)</w:t>
      </w:r>
      <w:r>
        <w:rPr>
          <w:color w:val="auto"/>
          <w:highlight w:val="none"/>
        </w:rPr>
        <w:t xml:space="preserve"> </w:t>
      </w:r>
      <w:r>
        <w:rPr>
          <w:color w:val="auto"/>
          <w:lang w:eastAsia="en-US"/>
        </w:rPr>
        <w:t xml:space="preserve">обеспечено размещение на Сайте сведений об объектах контроля и присвоенной им </w:t>
      </w:r>
      <w:r>
        <w:rPr>
          <w:color w:val="auto"/>
          <w:lang w:eastAsia="en-US"/>
        </w:rPr>
        <w:t xml:space="preserve">категории риска</w:t>
      </w:r>
      <w:r>
        <w:rPr>
          <w:color w:val="auto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разделе III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«Перечень профилактических мероприятий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color w:val="auto"/>
          <w:highlight w:val="none"/>
        </w:rPr>
        <w:t xml:space="preserve">в наименовании после слова «мероприятий» дополнить словами «, сроки (периодичность) их проведения»;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перед таблицей </w:t>
      </w:r>
      <w:r>
        <w:rPr>
          <w:color w:val="auto"/>
          <w:highlight w:val="none"/>
        </w:rPr>
        <w:t xml:space="preserve">дополнить абзацами следующего содержания: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  <w:outlineLvl w:val="1"/>
        <w:suppressLineNumbers w:val="0"/>
      </w:pPr>
      <w:r>
        <w:rPr>
          <w:color w:val="auto"/>
          <w:highlight w:val="none"/>
        </w:rPr>
        <w:t xml:space="preserve">«</w:t>
      </w:r>
      <w:r>
        <w:rPr>
          <w:b w:val="0"/>
          <w:bCs w:val="0"/>
          <w:color w:val="auto"/>
          <w:highlight w:val="none"/>
        </w:rPr>
        <w:t xml:space="preserve">В рамках осуществления </w:t>
      </w:r>
      <w:r>
        <w:rPr>
          <w:color w:val="auto"/>
          <w:highlight w:val="none"/>
        </w:rPr>
        <w:t xml:space="preserve">регионального государственного контроля проводятся следующие профилактические мероприятия: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  <w:outlineLvl w:val="1"/>
        <w:suppressLineNumbers w:val="0"/>
      </w:pPr>
      <w:r>
        <w:rPr>
          <w:color w:val="auto"/>
          <w:highlight w:val="none"/>
        </w:rPr>
        <w:t xml:space="preserve">1)</w:t>
      </w:r>
      <w:r>
        <w:rPr>
          <w:color w:val="auto"/>
          <w:highlight w:val="none"/>
          <w:lang w:eastAsia="en-US"/>
        </w:rPr>
        <w:t xml:space="preserve"> </w:t>
      </w:r>
      <w:r>
        <w:rPr>
          <w:color w:val="auto"/>
          <w:highlight w:val="none"/>
        </w:rPr>
        <w:t xml:space="preserve">информирование;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  <w:outlineLvl w:val="1"/>
        <w:suppressLineNumbers w:val="0"/>
      </w:pPr>
      <w:r>
        <w:rPr>
          <w:color w:val="auto"/>
          <w:highlight w:val="none"/>
        </w:rPr>
      </w:r>
      <w:r>
        <w:rPr>
          <w:color w:val="auto"/>
          <w:highlight w:val="none"/>
        </w:rPr>
        <w:t xml:space="preserve">2)</w:t>
      </w:r>
      <w:r>
        <w:rPr>
          <w:color w:val="auto"/>
          <w:highlight w:val="none"/>
          <w:lang w:eastAsia="en-US"/>
        </w:rPr>
        <w:t xml:space="preserve"> </w:t>
      </w:r>
      <w:r>
        <w:rPr>
          <w:b w:val="0"/>
          <w:bCs w:val="0"/>
          <w:color w:val="auto"/>
          <w:highlight w:val="none"/>
        </w:rPr>
        <w:t xml:space="preserve">объявление предостережения</w:t>
      </w:r>
      <w:r>
        <w:rPr>
          <w:color w:val="auto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  <w:outlineLvl w:val="1"/>
        <w:suppressLineNumbers w:val="0"/>
      </w:pPr>
      <w:r>
        <w:rPr>
          <w:color w:val="auto"/>
          <w:highlight w:val="none"/>
        </w:rPr>
      </w:r>
      <w:r>
        <w:rPr>
          <w:color w:val="auto"/>
          <w:highlight w:val="none"/>
        </w:rPr>
        <w:t xml:space="preserve">3)</w:t>
      </w:r>
      <w:r>
        <w:rPr>
          <w:color w:val="auto"/>
          <w:highlight w:val="none"/>
          <w:lang w:eastAsia="en-US"/>
        </w:rPr>
        <w:t xml:space="preserve"> </w:t>
      </w:r>
      <w:r>
        <w:rPr>
          <w:color w:val="auto"/>
          <w:highlight w:val="none"/>
        </w:rPr>
        <w:t xml:space="preserve">консультирование;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  <w:outlineLvl w:val="1"/>
        <w:suppressLineNumbers w:val="0"/>
      </w:pPr>
      <w:r>
        <w:rPr>
          <w:color w:val="auto"/>
          <w:highlight w:val="none"/>
        </w:rPr>
      </w:r>
      <w:r>
        <w:rPr>
          <w:color w:val="auto"/>
          <w:highlight w:val="none"/>
        </w:rPr>
        <w:t xml:space="preserve">4)</w:t>
      </w:r>
      <w:r>
        <w:rPr>
          <w:color w:val="auto"/>
          <w:highlight w:val="none"/>
          <w:lang w:eastAsia="en-US"/>
        </w:rPr>
        <w:t xml:space="preserve"> </w:t>
      </w:r>
      <w:r>
        <w:rPr>
          <w:color w:val="auto"/>
          <w:highlight w:val="none"/>
          <w:lang w:eastAsia="en-US"/>
        </w:rPr>
        <w:t xml:space="preserve">профилактический визит (обязательный профилактический визит и профилактический визит по инициативе контролируемого лица);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  <w:outlineLvl w:val="1"/>
        <w:suppressLineNumbers w:val="0"/>
      </w:pPr>
      <w:r>
        <w:rPr>
          <w:color w:val="auto"/>
          <w:highlight w:val="none"/>
        </w:rPr>
      </w:r>
      <w:r>
        <w:rPr>
          <w:color w:val="auto"/>
          <w:highlight w:val="none"/>
        </w:rPr>
        <w:t xml:space="preserve">5)</w:t>
      </w:r>
      <w:r>
        <w:rPr>
          <w:color w:val="auto"/>
          <w:highlight w:val="none"/>
          <w:lang w:eastAsia="en-US"/>
        </w:rPr>
        <w:t xml:space="preserve"> </w:t>
      </w:r>
      <w:r>
        <w:rPr>
          <w:color w:val="auto"/>
          <w:highlight w:val="none"/>
        </w:rPr>
        <w:t xml:space="preserve">обобщение правоприменительной практики.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 xml:space="preserve">Профилактические мероприятия осуществляются в порядке, установленном </w:t>
      </w:r>
      <w:r>
        <w:rPr>
          <w:color w:val="auto"/>
          <w:highlight w:val="none"/>
        </w:rPr>
        <w:t xml:space="preserve">Федеральным законом № 248-ФЗ</w:t>
      </w:r>
      <w:r>
        <w:rPr>
          <w:b w:val="0"/>
          <w:bCs w:val="0"/>
          <w:color w:val="auto"/>
          <w:highlight w:val="none"/>
        </w:rPr>
        <w:t xml:space="preserve">, а также </w:t>
      </w:r>
      <w:r>
        <w:rPr>
          <w:b w:val="0"/>
          <w:bCs w:val="0"/>
          <w:color w:val="auto"/>
          <w:highlight w:val="none"/>
        </w:rPr>
        <w:t xml:space="preserve">Положением о региональном государственном контроле.»</w:t>
      </w:r>
      <w:r>
        <w:rPr>
          <w:color w:val="auto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в </w:t>
      </w:r>
      <w:r>
        <w:rPr>
          <w:color w:val="auto"/>
          <w:highlight w:val="none"/>
        </w:rPr>
        <w:t xml:space="preserve">пункте 6 таблицы признать утратившей силу следующую строку: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left"/>
        <w:widowControl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W w:w="985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349"/>
        <w:gridCol w:w="1943"/>
        <w:gridCol w:w="2337"/>
        <w:gridCol w:w="2229"/>
      </w:tblGrid>
      <w:tr>
        <w:tblPrEx/>
        <w:trPr>
          <w:trHeight w:val="1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ind w:firstLine="0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 размещения на Сайте сведений об объектах контроля и присвоенной им категории риска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 мере необходимости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 xml:space="preserve">контролируемые лица</w:t>
            </w:r>
            <w:r>
              <w:rPr>
                <w:color w:val="auto"/>
                <w:sz w:val="22"/>
                <w:szCs w:val="22"/>
                <w:highlight w:val="yellow"/>
              </w:rPr>
            </w:r>
            <w:r>
              <w:rPr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лицензирования</w:t>
            </w:r>
            <w:r>
              <w:rPr>
                <w:color w:val="auto"/>
                <w:sz w:val="22"/>
                <w:szCs w:val="22"/>
                <w:highlight w:val="yellow"/>
              </w:rPr>
            </w:r>
            <w:r>
              <w:rPr>
                <w:color w:val="auto"/>
                <w:sz w:val="22"/>
                <w:szCs w:val="22"/>
                <w:highlight w:val="yellow"/>
              </w:rPr>
            </w:r>
          </w:p>
        </w:tc>
      </w:tr>
    </w:tbl>
    <w:p>
      <w:pPr>
        <w:ind w:firstLine="0"/>
        <w:jc w:val="right"/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</w:t>
      </w:r>
      <w:r>
        <w:rPr>
          <w:color w:val="auto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left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color w:val="auto"/>
          <w:highlight w:val="none"/>
        </w:rPr>
        <w:t xml:space="preserve">пункт 7 таблицы изложить в следующей редакции: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left"/>
        <w:widowControl/>
        <w:rPr>
          <w:color w:val="auto"/>
          <w:highlight w:val="none"/>
        </w:rPr>
        <w:suppressLineNumbers w:val="0"/>
      </w:pPr>
      <w:r>
        <w:rPr>
          <w:b w:val="0"/>
          <w:bCs w:val="0"/>
          <w:color w:val="auto"/>
          <w:highlight w:val="none"/>
        </w:rPr>
      </w:r>
      <w:r>
        <w:rPr>
          <w:color w:val="auto"/>
          <w:highlight w:val="none"/>
        </w:rPr>
        <w:t xml:space="preserve">«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985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4"/>
        <w:gridCol w:w="2551"/>
        <w:gridCol w:w="1480"/>
        <w:gridCol w:w="1780"/>
        <w:gridCol w:w="1698"/>
        <w:gridCol w:w="1846"/>
      </w:tblGrid>
      <w:tr>
        <w:tblPrEx/>
        <w:trPr>
          <w:trHeight w:val="29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4"/>
                <w:szCs w:val="24"/>
                <w:highlight w:val="none"/>
              </w:rPr>
              <w:outlineLvl w:val="0"/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7.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widowControl/>
              <w:rPr>
                <w:color w:val="auto"/>
                <w:sz w:val="24"/>
                <w:szCs w:val="24"/>
                <w:highlight w:val="none"/>
              </w:rPr>
              <w:outlineLvl w:val="0"/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widowControl/>
              <w:rPr>
                <w:color w:val="auto"/>
                <w:sz w:val="24"/>
                <w:szCs w:val="24"/>
                <w:highlight w:val="none"/>
              </w:rPr>
              <w:outlineLvl w:val="0"/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Проведение профилактическог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о визита в форме профилактической беседы 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по мере необходимости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textDirection w:val="lrTb"/>
            <w:noWrap w:val="false"/>
          </w:tcPr>
          <w:p>
            <w:pPr>
              <w:ind w:hanging="61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контролируемые лица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  <w:p>
            <w:pPr>
              <w:ind w:hanging="61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недопущение нарушений лицензионных (обязательных) требований контролируемыми лицами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проведение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профилактического визита по инициативе контролируемого лица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при поступлении заявления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контролируемые лица (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субъекты малого предпринимательства, социально ориентированные некоммерческие организации либо государственные или муниципальные учреждения)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недопущение нарушений лицензионных (обязательных) требований контролируемыми лицами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0" w:firstLine="0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-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обязательного профилак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тического визита в соответствии с планом проведения обязательных профилактических визитов на 2025 год, указанным в приложении к настоящей Программе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после принятия решения об отнесении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 контролируемых лиц, принадлежащих им объектов контроля к категории значительного риска; 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по поручению: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Президента Российской Федерации; 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; </w:t>
            </w:r>
            <w:r>
              <w:rPr>
                <w:rFonts w:eastAsia="Calibri"/>
                <w:color w:val="auto"/>
                <w:sz w:val="22"/>
                <w:szCs w:val="22"/>
                <w:highlight w:val="none"/>
                <w:lang w:eastAsia="en-US"/>
              </w:rPr>
              <w:t xml:space="preserve">Губернатора Новосибирской области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контролируемые лица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недопущение нарушений лицензионных (обязательных) требований контролируемыми лицами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ind w:firstLine="0"/>
        <w:jc w:val="right"/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</w:t>
      </w:r>
      <w:r>
        <w:rPr>
          <w:color w:val="auto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color w:val="auto"/>
          <w:highlight w:val="none"/>
        </w:rPr>
        <w:t xml:space="preserve">пункт 8 таблицы признать утратившим силу;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color w:val="auto"/>
          <w:highlight w:val="none"/>
        </w:rPr>
        <w:t xml:space="preserve">пункт 22 изложить в следующей редакции: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both"/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«</w:t>
      </w:r>
      <w:r>
        <w:rPr>
          <w:color w:val="auto"/>
          <w:sz w:val="28"/>
          <w:szCs w:val="28"/>
          <w:highlight w:val="white"/>
        </w:rPr>
        <w:t xml:space="preserve">22.</w:t>
      </w:r>
      <w:r>
        <w:rPr>
          <w:color w:val="auto"/>
          <w:sz w:val="28"/>
          <w:szCs w:val="28"/>
          <w:highlight w:val="white"/>
        </w:rPr>
        <w:t xml:space="preserve"> Основным показателем результативности и эффективности Программы является минимизация причинения вреда (ущерба) охраняемым законом ценностям.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white"/>
        </w:rPr>
      </w:pPr>
      <w:r>
        <w:rPr>
          <w:color w:val="auto"/>
          <w:highlight w:val="none"/>
        </w:rPr>
        <w:t xml:space="preserve">При </w:t>
      </w:r>
      <w:r>
        <w:rPr>
          <w:color w:val="auto"/>
          <w:sz w:val="28"/>
          <w:szCs w:val="28"/>
          <w:highlight w:val="none"/>
        </w:rPr>
        <w:t xml:space="preserve">осуществлении регионального государственного контроля</w:t>
      </w:r>
      <w:r>
        <w:rPr>
          <w:color w:val="auto"/>
          <w:highlight w:val="none"/>
        </w:rPr>
        <w:t xml:space="preserve">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Показателем результативности и эффективности Программы является уровень соблюдения контролируемыми лицами </w:t>
      </w:r>
      <w:r>
        <w:rPr>
          <w:color w:val="auto"/>
        </w:rPr>
        <w:t xml:space="preserve">лицензионных (обязательных) требований</w:t>
      </w:r>
      <w:r>
        <w:rPr>
          <w:color w:val="auto"/>
          <w:sz w:val="28"/>
          <w:szCs w:val="28"/>
          <w:highlight w:val="none"/>
        </w:rPr>
        <w:t xml:space="preserve"> (в %).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Показатель рассчитывается по формуле: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 = 100% - ( </w:t>
      </w:r>
      <m:oMath>
        <m:f>
          <m:fPr>
            <m:ctrlPr>
              <w:rPr>
                <w:rFonts w:ascii="Cambria Math" w:hAnsi="Cambria Math" w:eastAsia="Cambria Math" w:cs="Cambria Math"/>
                <w:i/>
                <w:color w:val="ff0000"/>
                <w:sz w:val="28"/>
                <w:szCs w:val="28"/>
                <w:highlight w:val="none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</w:rPr>
              <m:rPr/>
              <m:t>А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</w:rPr>
              <m:rPr/>
              <m:t>1</m:t>
            </m:r>
          </m:num>
          <m:den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</w:rPr>
              <m:rPr/>
              <m:t>А2</m:t>
            </m:r>
          </m:den>
        </m:f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* 100%),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где: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А</w:t>
      </w:r>
      <w:r>
        <w:rPr>
          <w:color w:val="auto"/>
          <w:sz w:val="28"/>
          <w:szCs w:val="28"/>
          <w:highlight w:val="none"/>
        </w:rPr>
        <w:t xml:space="preserve"> – уровень соблюдения контролируемыми лицами </w:t>
      </w:r>
      <w:r>
        <w:rPr>
          <w:color w:val="auto"/>
        </w:rPr>
        <w:t xml:space="preserve">лицензионных (обязательных) требований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А1 – количество контролируемых лиц, допустивших нарушения </w:t>
      </w:r>
      <w:r>
        <w:rPr>
          <w:color w:val="auto"/>
        </w:rPr>
        <w:t xml:space="preserve">лицензионных (обязательных) </w:t>
      </w:r>
      <w:r>
        <w:rPr>
          <w:color w:val="auto"/>
          <w:sz w:val="28"/>
          <w:szCs w:val="28"/>
          <w:highlight w:val="none"/>
        </w:rPr>
        <w:t xml:space="preserve">требований;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А2 – общее количество контролируемых лиц.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У</w:t>
      </w:r>
      <w:r>
        <w:rPr>
          <w:color w:val="auto"/>
          <w:sz w:val="28"/>
          <w:szCs w:val="28"/>
          <w:highlight w:val="none"/>
        </w:rPr>
        <w:t xml:space="preserve">ровень соблюдения </w:t>
      </w:r>
      <w:r>
        <w:rPr>
          <w:color w:val="auto"/>
        </w:rPr>
        <w:t xml:space="preserve">лицензионных (обязательных) требований</w:t>
      </w:r>
      <w:r>
        <w:rPr>
          <w:color w:val="auto"/>
          <w:sz w:val="28"/>
          <w:szCs w:val="28"/>
          <w:highlight w:val="none"/>
        </w:rPr>
        <w:t xml:space="preserve"> в 2025 году должен составить </w:t>
      </w:r>
      <w:r>
        <w:rPr>
          <w:color w:val="auto"/>
        </w:rPr>
        <w:t xml:space="preserve">не менее 75%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По итогам оценки уровня соблюдения </w:t>
      </w:r>
      <w:r>
        <w:rPr>
          <w:color w:val="auto"/>
        </w:rPr>
        <w:t xml:space="preserve">лицензионных (обязательных) требований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определяется уровень результативности и эффективности Программы (уровень профилактической работы Министерства при осуществлении регионального государственного контроля).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Критерии определения уровня результативности и эффективности Программы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</w:rPr>
      </w:r>
      <w:r>
        <w:rPr>
          <w:color w:val="auto"/>
        </w:rPr>
      </w:r>
    </w:p>
    <w:tbl>
      <w:tblPr>
        <w:tblStyle w:val="722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17"/>
        <w:gridCol w:w="2534"/>
        <w:gridCol w:w="2092"/>
      </w:tblGrid>
      <w:tr>
        <w:tblPrEx/>
        <w:trPr>
          <w:trHeight w:val="117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Уровень результативности и эффективности Программы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color w:val="auto"/>
                <w:sz w:val="10"/>
                <w:szCs w:val="10"/>
                <w:highlight w:val="white"/>
              </w:rPr>
            </w:pPr>
            <w:r>
              <w:rPr>
                <w:color w:val="auto"/>
                <w:sz w:val="10"/>
                <w:szCs w:val="10"/>
                <w:highlight w:val="none"/>
              </w:rPr>
            </w:r>
            <w:r>
              <w:rPr>
                <w:color w:val="auto"/>
                <w:sz w:val="10"/>
                <w:szCs w:val="10"/>
                <w:highlight w:val="white"/>
              </w:rPr>
            </w:r>
            <w:r>
              <w:rPr>
                <w:color w:val="auto"/>
                <w:sz w:val="10"/>
                <w:szCs w:val="10"/>
                <w:highlight w:val="white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Высокий уровень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534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Средний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уровень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Низкий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уровень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Уровень 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соблюдения 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</w:rPr>
              <w:t xml:space="preserve">лицензионных (обязательных) требований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75 - 100%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5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65 -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74%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64 % и менее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ind w:firstLine="709"/>
        <w:jc w:val="right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</w:t>
      </w:r>
      <w:r>
        <w:rPr>
          <w:color w:val="auto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color w:val="auto"/>
          <w:highlight w:val="none"/>
        </w:rPr>
        <w:t xml:space="preserve">пункт 23 изложить в следующей редакции: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  <w:t xml:space="preserve">«</w:t>
      </w:r>
      <w:r>
        <w:rPr>
          <w:color w:val="auto"/>
          <w:highlight w:val="none"/>
        </w:rPr>
        <w:t xml:space="preserve">23. Оценка результативности и эффективности реализации Программы </w:t>
      </w:r>
      <w:r>
        <w:rPr>
          <w:color w:val="auto"/>
        </w:rPr>
        <w:t xml:space="preserve">осуществляется управлением лицензирования</w:t>
      </w:r>
      <w:r>
        <w:rPr>
          <w:color w:val="auto"/>
        </w:rPr>
        <w:t xml:space="preserve"> по итогам календарного года.</w:t>
      </w:r>
      <w:r>
        <w:rPr>
          <w:color w:val="auto"/>
          <w:highlight w:val="none"/>
        </w:rPr>
        <w:t xml:space="preserve">»;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widowControl/>
        <w:rPr>
          <w:color w:val="auto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9) </w:t>
      </w:r>
      <w:r>
        <w:rPr>
          <w:color w:val="auto"/>
          <w:highlight w:val="none"/>
        </w:rPr>
        <w:t xml:space="preserve">пункт 24 признать утратившим силу;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widowControl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color w:val="auto"/>
          <w:highlight w:val="none"/>
        </w:rPr>
        <w:t xml:space="preserve">дополнить </w:t>
      </w:r>
      <w:r>
        <w:rPr>
          <w:color w:val="auto"/>
          <w:highlight w:val="none"/>
        </w:rPr>
        <w:t xml:space="preserve">прил</w:t>
      </w:r>
      <w:r>
        <w:rPr>
          <w:color w:val="auto"/>
          <w:highlight w:val="none"/>
        </w:rPr>
        <w:t xml:space="preserve">ожением </w:t>
      </w:r>
      <w:r>
        <w:rPr>
          <w:color w:val="auto"/>
          <w:highlight w:val="none"/>
        </w:rPr>
        <w:t xml:space="preserve">«</w:t>
      </w:r>
      <w:r>
        <w:rPr>
          <w:color w:val="auto"/>
          <w:highlight w:val="none"/>
        </w:rPr>
        <w:t xml:space="preserve">План проведения обязательных профилактических визитов на 2025 год</w:t>
      </w:r>
      <w:r>
        <w:rPr>
          <w:color w:val="auto"/>
        </w:rPr>
        <w:t xml:space="preserve">» в редакции согласно приложению к настоящему приказу.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left"/>
        <w:widowControl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left"/>
        <w:outlineLvl w:val="0"/>
      </w:pPr>
      <w:r/>
      <w:r/>
    </w:p>
    <w:p>
      <w:pPr>
        <w:ind w:firstLine="0"/>
        <w:jc w:val="left"/>
        <w:outlineLvl w:val="0"/>
      </w:pPr>
      <w:r/>
      <w:r/>
    </w:p>
    <w:p>
      <w:pPr>
        <w:ind w:left="0" w:firstLine="0"/>
        <w:jc w:val="center"/>
        <w:tabs>
          <w:tab w:val="left" w:pos="709" w:leader="none"/>
        </w:tabs>
        <w:rPr>
          <w:highlight w:val="none"/>
        </w:rPr>
        <w:suppressLineNumbers w:val="0"/>
      </w:pPr>
      <w:r>
        <w:rPr>
          <w:highlight w:val="none"/>
        </w:rPr>
        <w:t xml:space="preserve">____________________________</w:t>
      </w:r>
      <w:r>
        <w:rPr>
          <w:highlight w:val="none"/>
        </w:rPr>
      </w:r>
    </w:p>
    <w:p>
      <w:pPr>
        <w:ind w:left="0" w:firstLine="0"/>
        <w:jc w:val="both"/>
        <w:tabs>
          <w:tab w:val="left" w:pos="709" w:leader="none"/>
        </w:tabs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51" w:left="1418" w:header="709" w:footer="709" w:gutter="0"/>
          <w:pgNumType w:start="1"/>
          <w:cols w:num="1" w:sep="0" w:space="708" w:equalWidth="1"/>
          <w:docGrid w:linePitch="360"/>
          <w:titlePg/>
        </w:sectPr>
        <w:suppressLineNumbers w:val="0"/>
      </w:pPr>
      <w:r/>
      <w:r/>
    </w:p>
    <w:tbl>
      <w:tblPr>
        <w:tblStyle w:val="722"/>
        <w:tblW w:w="0" w:type="auto"/>
        <w:tblLayout w:type="fixed"/>
        <w:tblLook w:val="04A0" w:firstRow="1" w:lastRow="0" w:firstColumn="1" w:lastColumn="0" w:noHBand="0" w:noVBand="1"/>
      </w:tblPr>
      <w:tblGrid>
        <w:gridCol w:w="10160"/>
        <w:gridCol w:w="54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60" w:type="dxa"/>
            <w:textDirection w:val="lrTb"/>
            <w:noWrap w:val="false"/>
          </w:tcPr>
          <w:p>
            <w:pPr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ind w:left="0" w:right="-29" w:firstLine="0"/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  <w:t xml:space="preserve">ПРИЛОЖЕНИЕ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  <w:t xml:space="preserve">к приказу министерства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  <w:t xml:space="preserve">промышленности, торговли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  <w:t xml:space="preserve">и развития предпринимательства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  <w:t xml:space="preserve">Новосибирской области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rPr>
                <w:color w:val="auto"/>
                <w:highlight w:val="none"/>
              </w:rPr>
              <w:suppressLineNumbers w:val="0"/>
            </w:pPr>
            <w:r>
              <w:rPr>
                <w:color w:val="auto"/>
                <w:highlight w:val="none"/>
              </w:rPr>
              <w:t xml:space="preserve">от 30.06.2025 № 227-НПА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rPr>
                <w:b w:val="0"/>
                <w:bCs w:val="0"/>
                <w:color w:val="auto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rPr>
                <w:b w:val="0"/>
                <w:bCs w:val="0"/>
                <w:color w:val="auto"/>
                <w:highlight w:val="none"/>
              </w:rPr>
              <w:suppressLineNumbers w:val="0"/>
            </w:pPr>
            <w:r>
              <w:rPr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6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 w:val="false"/>
          </w:tcPr>
          <w:p>
            <w:pPr>
              <w:ind w:left="0" w:right="-29" w:firstLine="0"/>
              <w:jc w:val="center"/>
              <w:rPr>
                <w:color w:val="auto"/>
                <w:highlight w:val="none"/>
              </w:rPr>
              <w:suppressLineNumbers w:val="0"/>
            </w:pPr>
            <w:r>
              <w:rPr>
                <w:color w:val="auto"/>
                <w:highlight w:val="green"/>
              </w:rPr>
            </w:r>
            <w:r>
              <w:rPr>
                <w:color w:val="auto"/>
                <w:highlight w:val="none"/>
              </w:rPr>
              <w:t xml:space="preserve">«ПРИЛОЖЕНИЕ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  <w:highlight w:val="none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  <w:t xml:space="preserve">к </w:t>
            </w:r>
            <w:r>
              <w:rPr>
                <w:color w:val="auto"/>
              </w:rPr>
              <w:t xml:space="preserve">П</w:t>
            </w:r>
            <w:r>
              <w:rPr>
                <w:color w:val="auto"/>
              </w:rPr>
              <w:t xml:space="preserve">рограмме профилактики рисков </w:t>
            </w:r>
            <w:r>
              <w:rPr>
                <w:color w:val="auto"/>
              </w:rPr>
              <w:t xml:space="preserve">причинения вреда (ущерба) </w:t>
            </w:r>
            <w:r>
              <w:rPr>
                <w:color w:val="auto"/>
              </w:rPr>
              <w:t xml:space="preserve">охраняемым </w:t>
            </w:r>
            <w:r>
              <w:rPr>
                <w:color w:val="auto"/>
              </w:rPr>
              <w:t xml:space="preserve">законом ценностям при </w:t>
            </w:r>
            <w:r>
              <w:rPr>
                <w:color w:val="auto"/>
              </w:rPr>
              <w:t xml:space="preserve">осуществлении </w:t>
            </w:r>
            <w:r>
              <w:rPr>
                <w:color w:val="auto"/>
              </w:rPr>
              <w:t xml:space="preserve">регионального государственного контроля (надзора) </w:t>
            </w:r>
            <w:r>
              <w:rPr>
                <w:color w:val="auto"/>
              </w:rPr>
              <w:t xml:space="preserve">в области розничной продажи алкогольной </w:t>
            </w:r>
            <w:r>
              <w:rPr>
                <w:color w:val="auto"/>
              </w:rPr>
              <w:t xml:space="preserve">и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</w:rPr>
              <w:t xml:space="preserve">спиртосодержащей </w:t>
            </w:r>
            <w:r>
              <w:rPr>
                <w:color w:val="auto"/>
              </w:rPr>
              <w:t xml:space="preserve">продукции на территории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Новосибирской области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 2025 го</w:t>
            </w:r>
            <w:r>
              <w:rPr>
                <w:color w:val="auto"/>
              </w:rPr>
              <w:t xml:space="preserve">д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</w:rPr>
              <w:outlineLvl w:val="0"/>
              <w:suppressLineNumbers w:val="0"/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left="0" w:right="-29" w:firstLine="0"/>
              <w:jc w:val="center"/>
              <w:widowControl/>
              <w:rPr>
                <w:color w:val="auto"/>
              </w:rPr>
              <w:outlineLvl w:val="0"/>
              <w:suppressLineNumbers w:val="0"/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ind w:left="0" w:right="-29" w:firstLine="6236"/>
        <w:jc w:val="center"/>
        <w:widowControl/>
        <w:rPr>
          <w:color w:val="auto"/>
          <w:highlight w:val="none"/>
        </w:rPr>
        <w:outlineLvl w:val="0"/>
        <w:suppressLineNumbers w:val="0"/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0" w:right="0" w:firstLine="0"/>
        <w:jc w:val="center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  <w:t xml:space="preserve">План</w:t>
      </w:r>
      <w:r>
        <w:rPr>
          <w:b/>
          <w:bCs/>
          <w:color w:val="auto"/>
          <w:highlight w:val="none"/>
        </w:rPr>
        <w:t xml:space="preserve"> </w:t>
      </w:r>
      <w:r>
        <w:rPr>
          <w:b/>
          <w:bCs/>
          <w:color w:val="auto"/>
          <w:highlight w:val="none"/>
        </w:rPr>
        <w:t xml:space="preserve">проведения обязательных профилактических визитов </w:t>
      </w:r>
      <w:r>
        <w:rPr>
          <w:b/>
          <w:bCs/>
          <w:color w:val="auto"/>
          <w:highlight w:val="none"/>
        </w:rPr>
        <w:t xml:space="preserve">на 2025 год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ind w:left="0" w:right="0" w:firstLine="0"/>
        <w:jc w:val="center"/>
        <w:rPr>
          <w:color w:val="auto"/>
          <w:highlight w:val="green"/>
        </w:rPr>
      </w:pPr>
      <w:r>
        <w:rPr>
          <w:color w:val="auto"/>
          <w:highlight w:val="green"/>
        </w:rPr>
      </w:r>
      <w:r>
        <w:rPr>
          <w:color w:val="auto"/>
          <w:highlight w:val="green"/>
        </w:rPr>
      </w:r>
      <w:r>
        <w:rPr>
          <w:color w:val="auto"/>
          <w:highlight w:val="green"/>
        </w:rPr>
      </w:r>
    </w:p>
    <w:p>
      <w:pPr>
        <w:ind w:left="0" w:right="0" w:firstLine="0"/>
        <w:jc w:val="center"/>
        <w:rPr>
          <w:color w:val="auto"/>
          <w:highlight w:val="green"/>
        </w:rPr>
      </w:pPr>
      <w:r>
        <w:rPr>
          <w:color w:val="auto"/>
          <w:highlight w:val="green"/>
        </w:rPr>
      </w:r>
      <w:r>
        <w:rPr>
          <w:color w:val="auto"/>
          <w:highlight w:val="green"/>
        </w:rPr>
      </w:r>
      <w:r>
        <w:rPr>
          <w:color w:val="auto"/>
          <w:highlight w:val="green"/>
        </w:rPr>
      </w:r>
    </w:p>
    <w:tbl>
      <w:tblPr>
        <w:tblStyle w:val="722"/>
        <w:tblW w:w="15748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428"/>
        <w:gridCol w:w="1525"/>
        <w:gridCol w:w="1525"/>
        <w:gridCol w:w="1626"/>
        <w:gridCol w:w="1809"/>
        <w:gridCol w:w="1417"/>
        <w:gridCol w:w="1525"/>
        <w:gridCol w:w="1525"/>
        <w:gridCol w:w="1384"/>
        <w:gridCol w:w="1308"/>
      </w:tblGrid>
      <w:tr>
        <w:tblPrEx/>
        <w:trPr/>
        <w:tc>
          <w:tcP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3"/>
            <w:tcW w:w="46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 контролируемом лице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tcW w:w="32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объекте контроля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57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обязательном профилактическом визите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42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вание контролируемого лица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(ИНН)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6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 (место нахождения) контролируемого лица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юридического лица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объекта контроля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Категория риска, присвоенная объекту контроля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Основание проведения обязательного профилактического визита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highlight w:val="none"/>
              </w:rPr>
              <w:t xml:space="preserve">(согласно статье 52.1 Федерального закона № 248-ФЗ)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 места осуществления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контролируемым лицом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деятельности или адрес нахождения иного объекта контроля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проведения обязательного профилактического визита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 проведения обязательного профилактического визита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7"/>
        </w:trPr>
        <w:tc>
          <w:tcPr>
            <w:tcW w:w="4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3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42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Полярис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2225171834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630052, г. Новосибирск, ул. Петухова, зд. 23/5А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Бар «Рыба пила»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Значительный риск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Пункт 1 части 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630132, г. Новосибирск, ул. Сибирская д. 42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Один рабочий день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534"/>
        </w:trPr>
        <w:tc>
          <w:tcPr>
            <w:tcW w:w="42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Неверова Анастасия Алексеевна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540553947480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Бар «Рыба пила»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Значительный риск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Пункт 1 части 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630132, г. Новосибирск, ул. Сибирская д. 42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Один рабочий день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650"/>
        </w:trPr>
        <w:tc>
          <w:tcPr>
            <w:tcW w:w="42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Раджабов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Рахмонали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Мухаммадиевич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540601772025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«Звезда Востока»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Значительный риск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Пункт 1 части 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630132, г. Новосибирск, ул. Челюскинцев, д 15/2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27.08.2025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Один рабочий день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ind w:right="-850" w:firstLine="0"/>
        <w:jc w:val="center"/>
        <w:rPr>
          <w:color w:val="auto"/>
          <w:highlight w:val="none"/>
        </w:rPr>
        <w:suppressLineNumbers w:val="0"/>
      </w:pPr>
      <w:r>
        <w:rPr>
          <w:color w:val="auto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auto"/>
          <w:highlight w:val="none"/>
        </w:rPr>
        <w:t xml:space="preserve">»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right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right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center"/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_________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sectPr>
      <w:footnotePr/>
      <w:endnotePr/>
      <w:type w:val="nextPage"/>
      <w:pgSz w:w="16838" w:h="11906" w:orient="landscape"/>
      <w:pgMar w:top="1417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alibri">
    <w:panose1 w:val="020F05020202040302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fldChar w:fldCharType="begin"/>
    </w:r>
    <w: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0"/>
    <w:uiPriority w:val="10"/>
    <w:rPr>
      <w:sz w:val="48"/>
      <w:szCs w:val="48"/>
    </w:rPr>
  </w:style>
  <w:style w:type="character" w:styleId="682">
    <w:name w:val="Subtitle Char"/>
    <w:basedOn w:val="697"/>
    <w:link w:val="712"/>
    <w:uiPriority w:val="11"/>
    <w:rPr>
      <w:sz w:val="24"/>
      <w:szCs w:val="24"/>
    </w:rPr>
  </w:style>
  <w:style w:type="character" w:styleId="683">
    <w:name w:val="Quote Char"/>
    <w:link w:val="714"/>
    <w:uiPriority w:val="29"/>
    <w:rPr>
      <w:i/>
    </w:rPr>
  </w:style>
  <w:style w:type="character" w:styleId="684">
    <w:name w:val="Intense Quote Char"/>
    <w:link w:val="716"/>
    <w:uiPriority w:val="30"/>
    <w:rPr>
      <w:i/>
    </w:rPr>
  </w:style>
  <w:style w:type="character" w:styleId="685">
    <w:name w:val="Footnote Text Char"/>
    <w:link w:val="848"/>
    <w:uiPriority w:val="99"/>
    <w:rPr>
      <w:sz w:val="18"/>
    </w:rPr>
  </w:style>
  <w:style w:type="character" w:styleId="686">
    <w:name w:val="Endnote Text Char"/>
    <w:link w:val="851"/>
    <w:uiPriority w:val="99"/>
    <w:rPr>
      <w:sz w:val="20"/>
    </w:rPr>
  </w:style>
  <w:style w:type="paragraph" w:styleId="687" w:default="1">
    <w:name w:val="Normal"/>
    <w:qFormat/>
    <w:pPr>
      <w:ind w:firstLine="709"/>
      <w:jc w:val="both"/>
      <w:spacing w:after="0" w:line="240" w:lineRule="auto"/>
      <w:widowControl w:val="off"/>
    </w:pPr>
    <w:rPr>
      <w:rFonts w:ascii="Times New Roman" w:hAnsi="Times New Roman" w:cs="Times New Roman"/>
      <w:sz w:val="28"/>
      <w:szCs w:val="28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after="0" w:line="240" w:lineRule="auto"/>
    </w:pPr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Header Char"/>
    <w:basedOn w:val="697"/>
    <w:uiPriority w:val="99"/>
  </w:style>
  <w:style w:type="character" w:styleId="719" w:customStyle="1">
    <w:name w:val="Footer Char"/>
    <w:basedOn w:val="697"/>
    <w:uiPriority w:val="99"/>
  </w:style>
  <w:style w:type="paragraph" w:styleId="720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uiPriority w:val="99"/>
  </w:style>
  <w:style w:type="table" w:styleId="722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 w:customStyle="1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 w:customStyle="1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 w:customStyle="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8">
    <w:name w:val="footnote text"/>
    <w:basedOn w:val="687"/>
    <w:link w:val="849"/>
    <w:uiPriority w:val="99"/>
    <w:semiHidden/>
    <w:unhideWhenUsed/>
    <w:pPr>
      <w:spacing w:after="40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7"/>
    <w:uiPriority w:val="99"/>
    <w:unhideWhenUsed/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7"/>
    <w:uiPriority w:val="99"/>
    <w:semiHidden/>
    <w:unhideWhenUsed/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ind w:firstLine="0"/>
      <w:spacing w:after="57"/>
    </w:pPr>
  </w:style>
  <w:style w:type="paragraph" w:styleId="855">
    <w:name w:val="toc 2"/>
    <w:basedOn w:val="687"/>
    <w:next w:val="687"/>
    <w:uiPriority w:val="39"/>
    <w:unhideWhenUsed/>
    <w:pPr>
      <w:ind w:left="283" w:firstLine="0"/>
      <w:spacing w:after="57"/>
    </w:pPr>
  </w:style>
  <w:style w:type="paragraph" w:styleId="856">
    <w:name w:val="toc 3"/>
    <w:basedOn w:val="687"/>
    <w:next w:val="687"/>
    <w:uiPriority w:val="39"/>
    <w:unhideWhenUsed/>
    <w:pPr>
      <w:ind w:left="567" w:firstLine="0"/>
      <w:spacing w:after="57"/>
    </w:pPr>
  </w:style>
  <w:style w:type="paragraph" w:styleId="857">
    <w:name w:val="toc 4"/>
    <w:basedOn w:val="687"/>
    <w:next w:val="687"/>
    <w:uiPriority w:val="39"/>
    <w:unhideWhenUsed/>
    <w:pPr>
      <w:ind w:left="850" w:firstLine="0"/>
      <w:spacing w:after="57"/>
    </w:pPr>
  </w:style>
  <w:style w:type="paragraph" w:styleId="858">
    <w:name w:val="toc 5"/>
    <w:basedOn w:val="687"/>
    <w:next w:val="687"/>
    <w:uiPriority w:val="39"/>
    <w:unhideWhenUsed/>
    <w:pPr>
      <w:ind w:left="1134" w:firstLine="0"/>
      <w:spacing w:after="57"/>
    </w:pPr>
  </w:style>
  <w:style w:type="paragraph" w:styleId="859">
    <w:name w:val="toc 6"/>
    <w:basedOn w:val="687"/>
    <w:next w:val="687"/>
    <w:uiPriority w:val="39"/>
    <w:unhideWhenUsed/>
    <w:pPr>
      <w:ind w:left="1417" w:firstLine="0"/>
      <w:spacing w:after="57"/>
    </w:pPr>
  </w:style>
  <w:style w:type="paragraph" w:styleId="860">
    <w:name w:val="toc 7"/>
    <w:basedOn w:val="687"/>
    <w:next w:val="687"/>
    <w:uiPriority w:val="39"/>
    <w:unhideWhenUsed/>
    <w:pPr>
      <w:ind w:left="1701" w:firstLine="0"/>
      <w:spacing w:after="57"/>
    </w:pPr>
  </w:style>
  <w:style w:type="paragraph" w:styleId="861">
    <w:name w:val="toc 8"/>
    <w:basedOn w:val="687"/>
    <w:next w:val="687"/>
    <w:uiPriority w:val="39"/>
    <w:unhideWhenUsed/>
    <w:pPr>
      <w:ind w:left="1984" w:firstLine="0"/>
      <w:spacing w:after="57"/>
    </w:pPr>
  </w:style>
  <w:style w:type="paragraph" w:styleId="862">
    <w:name w:val="toc 9"/>
    <w:basedOn w:val="687"/>
    <w:next w:val="687"/>
    <w:uiPriority w:val="39"/>
    <w:unhideWhenUsed/>
    <w:pPr>
      <w:ind w:left="2268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7"/>
    <w:next w:val="687"/>
    <w:uiPriority w:val="99"/>
    <w:unhideWhenUsed/>
  </w:style>
  <w:style w:type="paragraph" w:styleId="865">
    <w:name w:val="Header"/>
    <w:basedOn w:val="687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697"/>
    <w:link w:val="865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67">
    <w:name w:val="Footer"/>
    <w:basedOn w:val="687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697"/>
    <w:link w:val="867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69">
    <w:name w:val="Balloon Text"/>
    <w:basedOn w:val="687"/>
    <w:link w:val="87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97"/>
    <w:link w:val="869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87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8"/>
      <w:szCs w:val="28"/>
      <w:lang w:eastAsia="ru-RU"/>
    </w:rPr>
  </w:style>
  <w:style w:type="paragraph" w:styleId="872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bCs/>
      <w:sz w:val="30"/>
      <w:szCs w:val="30"/>
      <w:lang w:eastAsia="ru-RU"/>
    </w:rPr>
  </w:style>
  <w:style w:type="paragraph" w:styleId="873">
    <w:name w:val="List Paragraph"/>
    <w:basedOn w:val="687"/>
    <w:uiPriority w:val="34"/>
    <w:qFormat/>
    <w:pPr>
      <w:contextualSpacing/>
      <w:ind w:left="720"/>
    </w:pPr>
  </w:style>
  <w:style w:type="character" w:styleId="874">
    <w:name w:val="Hyperlink"/>
    <w:basedOn w:val="697"/>
    <w:uiPriority w:val="99"/>
    <w:rPr>
      <w:rFonts w:cs="Times New Roman"/>
      <w:color w:val="0000ff" w:themeColor="hyperlink"/>
      <w:u w:val="single"/>
    </w:rPr>
  </w:style>
  <w:style w:type="character" w:styleId="875">
    <w:name w:val="annotation reference"/>
    <w:basedOn w:val="697"/>
    <w:uiPriority w:val="99"/>
    <w:rPr>
      <w:sz w:val="16"/>
      <w:szCs w:val="16"/>
    </w:rPr>
  </w:style>
  <w:style w:type="paragraph" w:styleId="876">
    <w:name w:val="annotation text"/>
    <w:basedOn w:val="687"/>
    <w:link w:val="877"/>
    <w:uiPriority w:val="99"/>
    <w:rPr>
      <w:sz w:val="20"/>
      <w:szCs w:val="20"/>
    </w:rPr>
  </w:style>
  <w:style w:type="character" w:styleId="877" w:customStyle="1">
    <w:name w:val="Текст примечания Знак"/>
    <w:basedOn w:val="697"/>
    <w:link w:val="87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78">
    <w:name w:val="annotation subject"/>
    <w:basedOn w:val="876"/>
    <w:next w:val="876"/>
    <w:link w:val="879"/>
    <w:uiPriority w:val="99"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F7E9-46EA-45DC-9B25-893AD097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 Наталья Ивановна</dc:creator>
  <cp:revision>31</cp:revision>
  <dcterms:created xsi:type="dcterms:W3CDTF">2024-09-11T04:33:00Z</dcterms:created>
  <dcterms:modified xsi:type="dcterms:W3CDTF">2025-07-21T03:08:42Z</dcterms:modified>
</cp:coreProperties>
</file>